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8" w:rsidRPr="00DE2088" w:rsidRDefault="00DE2088" w:rsidP="00DE2088">
      <w:pPr>
        <w:pStyle w:val="Balk1"/>
        <w:jc w:val="center"/>
        <w:rPr>
          <w:sz w:val="24"/>
          <w:szCs w:val="24"/>
          <w:lang w:val="en-GB"/>
        </w:rPr>
      </w:pPr>
      <w:r w:rsidRPr="00DE2088">
        <w:rPr>
          <w:sz w:val="24"/>
          <w:szCs w:val="24"/>
          <w:lang w:val="en-GB"/>
        </w:rPr>
        <w:fldChar w:fldCharType="begin"/>
      </w:r>
      <w:r w:rsidRPr="00DE2088">
        <w:rPr>
          <w:sz w:val="24"/>
          <w:szCs w:val="24"/>
          <w:lang w:val="en-GB"/>
        </w:rPr>
        <w:instrText xml:space="preserve"> HYPERLINK "https://www.turkeylitigationsupport.com/blog/2019/8/2/commentary-on-the-may-2019-judgments-adopted-by-the-turkish-constitutional-court-on-the-detention-of-journalists-and-a-civil-society-leader" </w:instrText>
      </w:r>
      <w:r w:rsidRPr="00DE2088">
        <w:rPr>
          <w:sz w:val="24"/>
          <w:szCs w:val="24"/>
          <w:lang w:val="en-GB"/>
        </w:rPr>
        <w:fldChar w:fldCharType="separate"/>
      </w:r>
      <w:r w:rsidRPr="00DE2088">
        <w:rPr>
          <w:rStyle w:val="Kpr"/>
          <w:color w:val="auto"/>
          <w:sz w:val="24"/>
          <w:szCs w:val="24"/>
          <w:u w:val="none"/>
          <w:lang w:val="en-GB"/>
        </w:rPr>
        <w:t xml:space="preserve">Commentary on the November 2020 judgments adopted by the European Court of Human Rights on the detention of </w:t>
      </w:r>
      <w:r w:rsidRPr="00DE2088">
        <w:rPr>
          <w:sz w:val="24"/>
          <w:szCs w:val="24"/>
          <w:lang w:val="en-GB"/>
        </w:rPr>
        <w:t xml:space="preserve">the journalists of the Turkish daily newspaper </w:t>
      </w:r>
      <w:proofErr w:type="spellStart"/>
      <w:r w:rsidRPr="00DE2088">
        <w:rPr>
          <w:sz w:val="24"/>
          <w:szCs w:val="24"/>
          <w:lang w:val="en-GB"/>
        </w:rPr>
        <w:t>Cumhuriyet</w:t>
      </w:r>
      <w:proofErr w:type="spellEnd"/>
      <w:r w:rsidRPr="00DE2088">
        <w:rPr>
          <w:rStyle w:val="Kpr"/>
          <w:color w:val="auto"/>
          <w:sz w:val="24"/>
          <w:szCs w:val="24"/>
          <w:u w:val="none"/>
          <w:lang w:val="en-GB"/>
        </w:rPr>
        <w:t xml:space="preserve"> </w:t>
      </w:r>
      <w:r w:rsidRPr="00DE2088">
        <w:rPr>
          <w:sz w:val="24"/>
          <w:szCs w:val="24"/>
          <w:lang w:val="en-GB"/>
        </w:rPr>
        <w:fldChar w:fldCharType="end"/>
      </w:r>
    </w:p>
    <w:p w:rsidR="00DE2088" w:rsidRDefault="00803114" w:rsidP="000D554F">
      <w:pPr>
        <w:spacing w:line="240" w:lineRule="auto"/>
        <w:contextualSpacing/>
        <w:jc w:val="both"/>
        <w:rPr>
          <w:b/>
          <w:lang w:val="tr-TR"/>
        </w:rPr>
      </w:pPr>
      <w:r>
        <w:rPr>
          <w:b/>
          <w:lang w:val="tr-TR"/>
        </w:rPr>
        <w:t>Beril Önder</w:t>
      </w:r>
    </w:p>
    <w:p w:rsidR="00803114" w:rsidRPr="00803114" w:rsidRDefault="00803114" w:rsidP="000D554F">
      <w:pPr>
        <w:spacing w:line="240" w:lineRule="auto"/>
        <w:contextualSpacing/>
        <w:jc w:val="both"/>
        <w:rPr>
          <w:b/>
          <w:lang w:val="tr-TR"/>
        </w:rPr>
      </w:pPr>
    </w:p>
    <w:p w:rsidR="008F261C" w:rsidRPr="00E12436" w:rsidRDefault="004F4C07" w:rsidP="000D554F">
      <w:pPr>
        <w:spacing w:line="240" w:lineRule="auto"/>
        <w:contextualSpacing/>
        <w:jc w:val="both"/>
      </w:pPr>
      <w:r w:rsidRPr="00E12436">
        <w:t xml:space="preserve">The </w:t>
      </w:r>
      <w:r w:rsidR="008F261C" w:rsidRPr="00E12436">
        <w:t xml:space="preserve">European Court of Human Rights (The Court or the </w:t>
      </w:r>
      <w:proofErr w:type="spellStart"/>
      <w:r w:rsidR="008F261C" w:rsidRPr="00E12436">
        <w:t>ECtHR</w:t>
      </w:r>
      <w:proofErr w:type="spellEnd"/>
      <w:r w:rsidR="008F261C" w:rsidRPr="00E12436">
        <w:t>)</w:t>
      </w:r>
      <w:r w:rsidRPr="00E12436">
        <w:t xml:space="preserve">, recently delivered two judgments </w:t>
      </w:r>
      <w:r w:rsidR="008F261C" w:rsidRPr="00E12436">
        <w:t xml:space="preserve">in the cases of </w:t>
      </w:r>
      <w:bookmarkStart w:id="0" w:name="OLE_LINK1"/>
      <w:r w:rsidR="00A530A7" w:rsidRPr="00E12436">
        <w:rPr>
          <w:i/>
          <w:iCs/>
        </w:rPr>
        <w:fldChar w:fldCharType="begin"/>
      </w:r>
      <w:r w:rsidR="00B90708" w:rsidRPr="00E12436">
        <w:rPr>
          <w:i/>
          <w:iCs/>
        </w:rPr>
        <w:instrText xml:space="preserve"> HYPERLINK "http://hudoc.echr.coe.int/eng?i=001-206212" </w:instrText>
      </w:r>
      <w:r w:rsidR="00A530A7" w:rsidRPr="00E12436">
        <w:rPr>
          <w:i/>
          <w:iCs/>
        </w:rPr>
        <w:fldChar w:fldCharType="separate"/>
      </w:r>
      <w:proofErr w:type="spellStart"/>
      <w:r w:rsidR="008F261C" w:rsidRPr="00E12436">
        <w:rPr>
          <w:rStyle w:val="Kpr"/>
          <w:i/>
          <w:iCs/>
        </w:rPr>
        <w:t>Sabuncu</w:t>
      </w:r>
      <w:proofErr w:type="spellEnd"/>
      <w:r w:rsidR="008F261C" w:rsidRPr="00E12436">
        <w:rPr>
          <w:rStyle w:val="Kpr"/>
          <w:i/>
          <w:iCs/>
        </w:rPr>
        <w:t xml:space="preserve"> and</w:t>
      </w:r>
      <w:r w:rsidR="008F261C" w:rsidRPr="00E12436">
        <w:rPr>
          <w:rStyle w:val="Kpr"/>
        </w:rPr>
        <w:t xml:space="preserve"> </w:t>
      </w:r>
      <w:r w:rsidR="008F261C" w:rsidRPr="00E12436">
        <w:rPr>
          <w:rStyle w:val="Kpr"/>
          <w:i/>
          <w:iCs/>
        </w:rPr>
        <w:t>Others v. Turkey</w:t>
      </w:r>
      <w:r w:rsidR="00A530A7" w:rsidRPr="00E12436">
        <w:rPr>
          <w:i/>
          <w:iCs/>
        </w:rPr>
        <w:fldChar w:fldCharType="end"/>
      </w:r>
      <w:r w:rsidR="008F261C" w:rsidRPr="00E12436">
        <w:t xml:space="preserve"> </w:t>
      </w:r>
      <w:bookmarkEnd w:id="0"/>
      <w:r w:rsidR="008F261C" w:rsidRPr="00E12436">
        <w:t xml:space="preserve">(application no. 23199/17) and </w:t>
      </w:r>
      <w:hyperlink r:id="rId7" w:history="1">
        <w:proofErr w:type="spellStart"/>
        <w:r w:rsidRPr="00E12436">
          <w:rPr>
            <w:rStyle w:val="Kpr"/>
            <w:i/>
            <w:iCs/>
          </w:rPr>
          <w:t>Şık</w:t>
        </w:r>
        <w:proofErr w:type="spellEnd"/>
        <w:r w:rsidRPr="00E12436">
          <w:rPr>
            <w:rStyle w:val="Kpr"/>
            <w:i/>
            <w:iCs/>
          </w:rPr>
          <w:t xml:space="preserve"> v. Turkey (no. 2)</w:t>
        </w:r>
      </w:hyperlink>
      <w:r w:rsidRPr="00E12436">
        <w:t xml:space="preserve"> (application no. 36493/17)</w:t>
      </w:r>
      <w:r w:rsidR="008F261C" w:rsidRPr="00E12436">
        <w:t xml:space="preserve">, respectively on 10 November 2020 and 24 November 2020. </w:t>
      </w:r>
      <w:r w:rsidRPr="00E12436">
        <w:t>The case</w:t>
      </w:r>
      <w:r w:rsidR="008F261C" w:rsidRPr="00E12436">
        <w:t>s</w:t>
      </w:r>
      <w:r w:rsidRPr="00E12436">
        <w:t xml:space="preserve"> concerned the initial and continued pre-trial detention of the journalist</w:t>
      </w:r>
      <w:r w:rsidR="008F261C" w:rsidRPr="00E12436">
        <w:t xml:space="preserve">s of the Turkish daily newspaper </w:t>
      </w:r>
      <w:proofErr w:type="spellStart"/>
      <w:r w:rsidR="008F261C" w:rsidRPr="00E12436">
        <w:t>Cumhuriyet</w:t>
      </w:r>
      <w:proofErr w:type="spellEnd"/>
      <w:r w:rsidR="008F261C" w:rsidRPr="00E12436">
        <w:t xml:space="preserve">. While the Court found a violation of Articles 5 § 1 </w:t>
      </w:r>
      <w:r w:rsidR="004E47F8" w:rsidRPr="00E12436">
        <w:t xml:space="preserve">(right to liberty and security) </w:t>
      </w:r>
      <w:r w:rsidR="008F261C" w:rsidRPr="00E12436">
        <w:t xml:space="preserve">and 10 </w:t>
      </w:r>
      <w:r w:rsidR="004E47F8" w:rsidRPr="00E12436">
        <w:t xml:space="preserve">(freedom of expression) </w:t>
      </w:r>
      <w:r w:rsidR="008F261C" w:rsidRPr="00E12436">
        <w:t xml:space="preserve">of the Convention in both cases, it held that there had not been no violation of Articles 5 § 4 </w:t>
      </w:r>
      <w:r w:rsidR="004E47F8" w:rsidRPr="00E12436">
        <w:t xml:space="preserve">(right to speedy review of the lawfulness of detention) </w:t>
      </w:r>
      <w:r w:rsidR="008F261C" w:rsidRPr="00E12436">
        <w:t xml:space="preserve">and 18 </w:t>
      </w:r>
      <w:r w:rsidR="004E47F8" w:rsidRPr="00E12436">
        <w:t xml:space="preserve">(limitation on use of the restrictions on rights) </w:t>
      </w:r>
      <w:r w:rsidR="008F261C" w:rsidRPr="00E12436">
        <w:t>of the Convention.</w:t>
      </w:r>
    </w:p>
    <w:p w:rsidR="00D77B57" w:rsidRPr="00E12436" w:rsidRDefault="00D77B57" w:rsidP="000D554F">
      <w:pPr>
        <w:spacing w:line="240" w:lineRule="auto"/>
        <w:contextualSpacing/>
        <w:jc w:val="both"/>
      </w:pPr>
    </w:p>
    <w:p w:rsidR="00621FA0" w:rsidRPr="00E12436" w:rsidRDefault="002D5EB2" w:rsidP="000D554F">
      <w:pPr>
        <w:spacing w:line="240" w:lineRule="auto"/>
        <w:contextualSpacing/>
        <w:jc w:val="both"/>
      </w:pPr>
      <w:r w:rsidRPr="00E12436">
        <w:t xml:space="preserve">These two cases </w:t>
      </w:r>
      <w:r w:rsidR="002713FA" w:rsidRPr="00E12436">
        <w:t xml:space="preserve">are </w:t>
      </w:r>
      <w:r w:rsidR="005419E7" w:rsidRPr="00E12436">
        <w:t>blatant</w:t>
      </w:r>
      <w:r w:rsidR="00A5174B" w:rsidRPr="00E12436">
        <w:t xml:space="preserve"> examples of </w:t>
      </w:r>
      <w:r w:rsidR="009D41E0" w:rsidRPr="00E12436">
        <w:t>media repression</w:t>
      </w:r>
      <w:r w:rsidR="00BF710D" w:rsidRPr="00E12436">
        <w:t xml:space="preserve"> in Turkey in the aftermath of the </w:t>
      </w:r>
      <w:r w:rsidR="00594CBF" w:rsidRPr="00E12436">
        <w:t xml:space="preserve">attempted </w:t>
      </w:r>
      <w:r w:rsidR="00594CBF" w:rsidRPr="00E12436">
        <w:rPr>
          <w:i/>
          <w:iCs/>
        </w:rPr>
        <w:t>coup</w:t>
      </w:r>
      <w:r w:rsidR="00594CBF" w:rsidRPr="00E12436">
        <w:t xml:space="preserve"> of 15 July 2016</w:t>
      </w:r>
      <w:r w:rsidR="009D41E0" w:rsidRPr="00E12436">
        <w:t xml:space="preserve">. </w:t>
      </w:r>
      <w:r w:rsidR="00997FBF" w:rsidRPr="00E12436">
        <w:t xml:space="preserve">As the </w:t>
      </w:r>
      <w:r w:rsidR="00D71CA5" w:rsidRPr="00E12436">
        <w:t xml:space="preserve">Council of Europe Commissioner for Human Rights </w:t>
      </w:r>
      <w:r w:rsidR="001205BA" w:rsidRPr="00E12436">
        <w:t>stated in its third par</w:t>
      </w:r>
      <w:r w:rsidR="00531993" w:rsidRPr="00E12436">
        <w:t>t</w:t>
      </w:r>
      <w:r w:rsidR="001205BA" w:rsidRPr="00E12436">
        <w:t>y intervention</w:t>
      </w:r>
      <w:r w:rsidR="006E29BF" w:rsidRPr="00E12436">
        <w:t xml:space="preserve"> of 10 October 2017</w:t>
      </w:r>
      <w:r w:rsidR="001205BA" w:rsidRPr="00E12436">
        <w:t xml:space="preserve">, </w:t>
      </w:r>
      <w:r w:rsidR="00D8552A" w:rsidRPr="00E12436">
        <w:t xml:space="preserve">detention and prosecution of </w:t>
      </w:r>
      <w:r w:rsidR="00F7023D" w:rsidRPr="00E12436">
        <w:t xml:space="preserve">numerous </w:t>
      </w:r>
      <w:r w:rsidR="002D33C1" w:rsidRPr="00E12436">
        <w:t xml:space="preserve">journalists </w:t>
      </w:r>
      <w:r w:rsidR="00AE0E1D" w:rsidRPr="00E12436">
        <w:t>ha</w:t>
      </w:r>
      <w:r w:rsidR="00B721A5" w:rsidRPr="00E12436">
        <w:t>ve been</w:t>
      </w:r>
      <w:r w:rsidR="00D34723" w:rsidRPr="00E12436">
        <w:t xml:space="preserve"> </w:t>
      </w:r>
      <w:r w:rsidR="00A86F19" w:rsidRPr="00E12436">
        <w:t xml:space="preserve">‘part of a broader pattern of repression against those </w:t>
      </w:r>
      <w:r w:rsidR="00032B9A" w:rsidRPr="00E12436">
        <w:t xml:space="preserve">expressing dissent or criticism of the authorities, </w:t>
      </w:r>
      <w:r w:rsidR="00F7023D" w:rsidRPr="00E12436">
        <w:t>which is currently prevailing in Turkey</w:t>
      </w:r>
      <w:r w:rsidR="003713D4" w:rsidRPr="00E12436">
        <w:t>.’</w:t>
      </w:r>
      <w:r w:rsidR="00F36BCC" w:rsidRPr="00E12436">
        <w:rPr>
          <w:rStyle w:val="DipnotBavurusu"/>
        </w:rPr>
        <w:footnoteReference w:id="2"/>
      </w:r>
      <w:r w:rsidR="008F5954" w:rsidRPr="00E12436">
        <w:t xml:space="preserve"> </w:t>
      </w:r>
      <w:r w:rsidR="00E67535" w:rsidRPr="00E12436">
        <w:t xml:space="preserve">Considering also that detention and prosecution of journalists under grave charges result in </w:t>
      </w:r>
      <w:r w:rsidR="00F52B5B" w:rsidRPr="00E12436">
        <w:t xml:space="preserve">a </w:t>
      </w:r>
      <w:r w:rsidR="00E67535" w:rsidRPr="00E12436">
        <w:t>strong chilling effect on legitimate journalistic activities,</w:t>
      </w:r>
      <w:r w:rsidR="00E64491" w:rsidRPr="00E12436">
        <w:t xml:space="preserve"> the Court’s finding</w:t>
      </w:r>
      <w:r w:rsidR="00507DA9" w:rsidRPr="00E12436">
        <w:t>s</w:t>
      </w:r>
      <w:r w:rsidR="00E64491" w:rsidRPr="00E12436">
        <w:t xml:space="preserve"> of violation</w:t>
      </w:r>
      <w:r w:rsidR="00751E6F" w:rsidRPr="00E12436">
        <w:t>s</w:t>
      </w:r>
      <w:r w:rsidR="00436B44" w:rsidRPr="00E12436">
        <w:t xml:space="preserve"> of Articles 5 § 1 and 10 of the Convention</w:t>
      </w:r>
      <w:r w:rsidR="00FE03D6" w:rsidRPr="00E12436">
        <w:t xml:space="preserve"> </w:t>
      </w:r>
      <w:r w:rsidR="00507DA9" w:rsidRPr="00E12436">
        <w:t>are</w:t>
      </w:r>
      <w:r w:rsidR="00751E6F" w:rsidRPr="00E12436">
        <w:t xml:space="preserve"> significant</w:t>
      </w:r>
      <w:r w:rsidR="00507DA9" w:rsidRPr="00E12436">
        <w:t xml:space="preserve"> to address</w:t>
      </w:r>
      <w:r w:rsidR="00C30F36" w:rsidRPr="00E12436">
        <w:t xml:space="preserve"> </w:t>
      </w:r>
      <w:r w:rsidR="00F73B1E" w:rsidRPr="00E12436">
        <w:t>this practice</w:t>
      </w:r>
      <w:r w:rsidR="005F3644" w:rsidRPr="00E12436">
        <w:t xml:space="preserve"> targeting</w:t>
      </w:r>
      <w:r w:rsidR="00C30F36" w:rsidRPr="00E12436">
        <w:t xml:space="preserve"> the journalists</w:t>
      </w:r>
      <w:r w:rsidR="005F3644" w:rsidRPr="00E12436">
        <w:t>.</w:t>
      </w:r>
    </w:p>
    <w:p w:rsidR="00F73B1E" w:rsidRPr="00E12436" w:rsidRDefault="00F73B1E" w:rsidP="000D554F">
      <w:pPr>
        <w:spacing w:line="240" w:lineRule="auto"/>
        <w:contextualSpacing/>
        <w:jc w:val="both"/>
      </w:pPr>
    </w:p>
    <w:p w:rsidR="005740BD" w:rsidRPr="00E12436" w:rsidRDefault="00D06023" w:rsidP="000D554F">
      <w:pPr>
        <w:spacing w:line="240" w:lineRule="auto"/>
        <w:contextualSpacing/>
        <w:jc w:val="both"/>
      </w:pPr>
      <w:r w:rsidRPr="00E12436">
        <w:t xml:space="preserve">However, </w:t>
      </w:r>
      <w:r w:rsidR="000C31AE" w:rsidRPr="00E12436">
        <w:t xml:space="preserve">it </w:t>
      </w:r>
      <w:r w:rsidR="00BD44D3" w:rsidRPr="00E12436">
        <w:t>should be also noted that</w:t>
      </w:r>
      <w:r w:rsidR="000C31AE" w:rsidRPr="00E12436">
        <w:t xml:space="preserve"> </w:t>
      </w:r>
      <w:r w:rsidRPr="00E12436">
        <w:t>the</w:t>
      </w:r>
      <w:r w:rsidR="000C31AE" w:rsidRPr="00E12436">
        <w:t xml:space="preserve"> legal reasoning and the findings of the Court </w:t>
      </w:r>
      <w:r w:rsidR="002F6E92" w:rsidRPr="00E12436">
        <w:t xml:space="preserve">under Article18 of the Convention is </w:t>
      </w:r>
      <w:r w:rsidR="00F52B5B" w:rsidRPr="00E12436">
        <w:t xml:space="preserve">arguably </w:t>
      </w:r>
      <w:r w:rsidR="002F6E92" w:rsidRPr="00E12436">
        <w:t>unsatisfactor</w:t>
      </w:r>
      <w:r w:rsidR="00E206D7" w:rsidRPr="00E12436">
        <w:t>y, as</w:t>
      </w:r>
      <w:r w:rsidR="00E01783" w:rsidRPr="00E12436">
        <w:t xml:space="preserve"> </w:t>
      </w:r>
      <w:r w:rsidR="008F72B5" w:rsidRPr="00E12436">
        <w:t xml:space="preserve">was </w:t>
      </w:r>
      <w:r w:rsidR="005740BD" w:rsidRPr="00E12436">
        <w:t xml:space="preserve">also </w:t>
      </w:r>
      <w:r w:rsidR="00F52B5B" w:rsidRPr="00E12436">
        <w:t>argu</w:t>
      </w:r>
      <w:r w:rsidR="005740BD" w:rsidRPr="00E12436">
        <w:t xml:space="preserve">ed </w:t>
      </w:r>
      <w:r w:rsidR="000C1F02" w:rsidRPr="00E12436">
        <w:t xml:space="preserve">in the </w:t>
      </w:r>
      <w:r w:rsidR="005740BD" w:rsidRPr="00E12436">
        <w:t xml:space="preserve">strongly worded </w:t>
      </w:r>
      <w:r w:rsidR="000C1F02" w:rsidRPr="00E12436">
        <w:t xml:space="preserve">partly dissenting opinion of Judge </w:t>
      </w:r>
      <w:proofErr w:type="spellStart"/>
      <w:r w:rsidR="00757FFB" w:rsidRPr="00E12436">
        <w:t>Kūris</w:t>
      </w:r>
      <w:proofErr w:type="spellEnd"/>
      <w:r w:rsidR="00757FFB" w:rsidRPr="00E12436">
        <w:t>.</w:t>
      </w:r>
      <w:r w:rsidR="00880E10" w:rsidRPr="00E12436">
        <w:t xml:space="preserve"> </w:t>
      </w:r>
      <w:r w:rsidR="00A1397C" w:rsidRPr="00E12436">
        <w:t xml:space="preserve">In </w:t>
      </w:r>
      <w:r w:rsidR="005740BD" w:rsidRPr="00E12436">
        <w:t xml:space="preserve">both cases, the Court held that the authorities </w:t>
      </w:r>
      <w:r w:rsidR="004170EF" w:rsidRPr="00E12436">
        <w:t>had not p</w:t>
      </w:r>
      <w:r w:rsidR="004E266C" w:rsidRPr="00E12436">
        <w:t xml:space="preserve">ursued an </w:t>
      </w:r>
      <w:r w:rsidR="004E47F8" w:rsidRPr="00E12436">
        <w:t>‘</w:t>
      </w:r>
      <w:r w:rsidR="004E266C" w:rsidRPr="00E12436">
        <w:t>ulterior</w:t>
      </w:r>
      <w:r w:rsidR="004E47F8" w:rsidRPr="00E12436">
        <w:t>’</w:t>
      </w:r>
      <w:r w:rsidR="004E266C" w:rsidRPr="00E12436">
        <w:t xml:space="preserve"> purpose</w:t>
      </w:r>
      <w:r w:rsidR="0039370F" w:rsidRPr="00E12436">
        <w:t>, despite the applicants</w:t>
      </w:r>
      <w:r w:rsidR="00AC2558" w:rsidRPr="00E12436">
        <w:t xml:space="preserve">’ allegation </w:t>
      </w:r>
      <w:r w:rsidR="00DC7076" w:rsidRPr="00E12436">
        <w:t>that the purpose of their initial and continued detention had been to subject them to judicial harassment on account of their journalistic activities.</w:t>
      </w:r>
      <w:r w:rsidR="00A77E3D" w:rsidRPr="00E12436">
        <w:t xml:space="preserve"> </w:t>
      </w:r>
      <w:r w:rsidR="0069295E" w:rsidRPr="00E12436">
        <w:t>In doing so, t</w:t>
      </w:r>
      <w:r w:rsidR="00DC5271" w:rsidRPr="00E12436">
        <w:t xml:space="preserve">he Court </w:t>
      </w:r>
      <w:r w:rsidR="00B0585C" w:rsidRPr="00E12436">
        <w:t>did not really</w:t>
      </w:r>
      <w:r w:rsidR="00640902" w:rsidRPr="00E12436">
        <w:t xml:space="preserve"> engage with the</w:t>
      </w:r>
      <w:r w:rsidR="00E76E32" w:rsidRPr="00E12436">
        <w:t xml:space="preserve"> </w:t>
      </w:r>
      <w:r w:rsidR="00640902" w:rsidRPr="00E12436">
        <w:t>contextual evidence, including that presented by the third-party interveners</w:t>
      </w:r>
      <w:r w:rsidR="000A73A1" w:rsidRPr="00E12436">
        <w:t xml:space="preserve">, unlike in </w:t>
      </w:r>
      <w:proofErr w:type="spellStart"/>
      <w:r w:rsidR="000A73A1" w:rsidRPr="00E12436">
        <w:rPr>
          <w:i/>
          <w:iCs/>
        </w:rPr>
        <w:t>Kavala</w:t>
      </w:r>
      <w:proofErr w:type="spellEnd"/>
      <w:r w:rsidR="000A73A1" w:rsidRPr="00E12436">
        <w:rPr>
          <w:i/>
          <w:iCs/>
        </w:rPr>
        <w:t xml:space="preserve"> v. </w:t>
      </w:r>
      <w:r w:rsidR="001A13E7" w:rsidRPr="00E12436">
        <w:rPr>
          <w:i/>
          <w:iCs/>
        </w:rPr>
        <w:t>Turkey</w:t>
      </w:r>
      <w:r w:rsidR="001A13E7" w:rsidRPr="00E12436">
        <w:t>.</w:t>
      </w:r>
      <w:r w:rsidR="00531993" w:rsidRPr="00E12436">
        <w:rPr>
          <w:rStyle w:val="DipnotBavurusu"/>
        </w:rPr>
        <w:footnoteReference w:id="3"/>
      </w:r>
      <w:r w:rsidR="001A13E7" w:rsidRPr="00E12436">
        <w:t xml:space="preserve"> </w:t>
      </w:r>
      <w:r w:rsidR="00A148FB" w:rsidRPr="00E12436">
        <w:t xml:space="preserve">In particular, the Court </w:t>
      </w:r>
      <w:r w:rsidR="00F52B5B" w:rsidRPr="00E12436">
        <w:t>did</w:t>
      </w:r>
      <w:r w:rsidR="00A148FB" w:rsidRPr="00E12436">
        <w:t xml:space="preserve"> not </w:t>
      </w:r>
      <w:r w:rsidR="00F52B5B" w:rsidRPr="00E12436">
        <w:t>adequately</w:t>
      </w:r>
      <w:r w:rsidR="00930655" w:rsidRPr="00E12436">
        <w:t xml:space="preserve"> </w:t>
      </w:r>
      <w:r w:rsidR="00A148FB" w:rsidRPr="00E12436">
        <w:t xml:space="preserve">take into account </w:t>
      </w:r>
      <w:r w:rsidR="00905041" w:rsidRPr="00E12436">
        <w:t xml:space="preserve">that </w:t>
      </w:r>
      <w:r w:rsidR="003D51F0" w:rsidRPr="00E12436">
        <w:t>the applicants’ detention and prosecution was</w:t>
      </w:r>
      <w:r w:rsidR="006D6E74" w:rsidRPr="00E12436">
        <w:t xml:space="preserve"> part of a </w:t>
      </w:r>
      <w:r w:rsidR="003D51F0" w:rsidRPr="00E12436">
        <w:t>broader pattern</w:t>
      </w:r>
      <w:r w:rsidR="004B7D88" w:rsidRPr="00E12436">
        <w:t xml:space="preserve"> of repression against media</w:t>
      </w:r>
      <w:r w:rsidR="00297402" w:rsidRPr="00E12436">
        <w:t>, c</w:t>
      </w:r>
      <w:r w:rsidR="004B7D88" w:rsidRPr="00E12436">
        <w:t>ivil society</w:t>
      </w:r>
      <w:r w:rsidR="00297402" w:rsidRPr="00E12436">
        <w:t xml:space="preserve"> </w:t>
      </w:r>
      <w:r w:rsidR="00A44B40" w:rsidRPr="00E12436">
        <w:t>and opposition politicians</w:t>
      </w:r>
      <w:r w:rsidR="00E7251B" w:rsidRPr="00E12436">
        <w:t xml:space="preserve"> in the aftermath of </w:t>
      </w:r>
      <w:r w:rsidR="00F52B5B" w:rsidRPr="00E12436">
        <w:t xml:space="preserve">the </w:t>
      </w:r>
      <w:r w:rsidR="00E7251B" w:rsidRPr="00E12436">
        <w:t xml:space="preserve">attempted </w:t>
      </w:r>
      <w:r w:rsidR="00E7251B" w:rsidRPr="00E12436">
        <w:rPr>
          <w:i/>
          <w:iCs/>
        </w:rPr>
        <w:t>coup</w:t>
      </w:r>
      <w:r w:rsidR="00A44B40" w:rsidRPr="00E12436">
        <w:t>.</w:t>
      </w:r>
    </w:p>
    <w:p w:rsidR="008F261C" w:rsidRPr="00E12436" w:rsidRDefault="008F261C" w:rsidP="000D554F">
      <w:pPr>
        <w:spacing w:line="240" w:lineRule="auto"/>
        <w:contextualSpacing/>
        <w:jc w:val="both"/>
      </w:pPr>
    </w:p>
    <w:p w:rsidR="008F261C" w:rsidRPr="00E12436" w:rsidRDefault="008F261C" w:rsidP="000D554F">
      <w:pPr>
        <w:spacing w:line="240" w:lineRule="auto"/>
        <w:contextualSpacing/>
        <w:jc w:val="both"/>
        <w:rPr>
          <w:b/>
          <w:bCs/>
        </w:rPr>
      </w:pPr>
      <w:proofErr w:type="spellStart"/>
      <w:r w:rsidRPr="00E12436">
        <w:rPr>
          <w:b/>
          <w:bCs/>
        </w:rPr>
        <w:t>Sabuncu</w:t>
      </w:r>
      <w:proofErr w:type="spellEnd"/>
      <w:r w:rsidRPr="00E12436">
        <w:rPr>
          <w:b/>
          <w:bCs/>
        </w:rPr>
        <w:t xml:space="preserve"> and </w:t>
      </w:r>
      <w:r w:rsidRPr="00E12436">
        <w:rPr>
          <w:b/>
          <w:bCs/>
          <w:i/>
          <w:iCs/>
        </w:rPr>
        <w:t>Others v. Turkey</w:t>
      </w:r>
      <w:r w:rsidRPr="00E12436">
        <w:rPr>
          <w:b/>
          <w:bCs/>
        </w:rPr>
        <w:t xml:space="preserve"> (application no. 23199/17)</w:t>
      </w:r>
      <w:r w:rsidR="00FF7BA6" w:rsidRPr="00E12436">
        <w:rPr>
          <w:b/>
          <w:bCs/>
        </w:rPr>
        <w:t>, 10</w:t>
      </w:r>
      <w:r w:rsidR="00764789" w:rsidRPr="00E12436">
        <w:rPr>
          <w:b/>
          <w:bCs/>
        </w:rPr>
        <w:t xml:space="preserve"> November 2020</w:t>
      </w:r>
    </w:p>
    <w:p w:rsidR="002903B1" w:rsidRPr="00E12436" w:rsidRDefault="002903B1" w:rsidP="000D554F">
      <w:pPr>
        <w:spacing w:line="240" w:lineRule="auto"/>
        <w:contextualSpacing/>
        <w:jc w:val="both"/>
        <w:rPr>
          <w:b/>
          <w:bCs/>
        </w:rPr>
      </w:pPr>
    </w:p>
    <w:p w:rsidR="008F261C" w:rsidRPr="00E12436" w:rsidRDefault="002903B1" w:rsidP="000D554F">
      <w:pPr>
        <w:spacing w:line="240" w:lineRule="auto"/>
        <w:contextualSpacing/>
        <w:jc w:val="both"/>
        <w:rPr>
          <w:u w:val="single"/>
        </w:rPr>
      </w:pPr>
      <w:r w:rsidRPr="00E12436">
        <w:rPr>
          <w:u w:val="single"/>
        </w:rPr>
        <w:t>Facts</w:t>
      </w:r>
    </w:p>
    <w:p w:rsidR="008F261C" w:rsidRPr="00E12436" w:rsidRDefault="008F261C" w:rsidP="000D554F">
      <w:pPr>
        <w:spacing w:line="240" w:lineRule="auto"/>
        <w:contextualSpacing/>
        <w:jc w:val="both"/>
      </w:pPr>
      <w:r w:rsidRPr="00E12436">
        <w:lastRenderedPageBreak/>
        <w:t>The applicants</w:t>
      </w:r>
      <w:r w:rsidR="00FB2A02" w:rsidRPr="00E12436">
        <w:t xml:space="preserve"> were </w:t>
      </w:r>
      <w:r w:rsidRPr="00E12436">
        <w:t>journalists with the national daily newspaper </w:t>
      </w:r>
      <w:proofErr w:type="spellStart"/>
      <w:r w:rsidRPr="00E12436">
        <w:rPr>
          <w:i/>
          <w:iCs/>
        </w:rPr>
        <w:t>Cumhuriyet</w:t>
      </w:r>
      <w:proofErr w:type="spellEnd"/>
      <w:r w:rsidRPr="00E12436">
        <w:t> (“The Republic”) or managers of the</w:t>
      </w:r>
      <w:r w:rsidR="00531993" w:rsidRPr="00E12436">
        <w:t xml:space="preserve"> </w:t>
      </w:r>
      <w:proofErr w:type="spellStart"/>
      <w:r w:rsidRPr="00E12436">
        <w:t>Cumhuriyet</w:t>
      </w:r>
      <w:proofErr w:type="spellEnd"/>
      <w:r w:rsidR="00531993" w:rsidRPr="00E12436">
        <w:rPr>
          <w:i/>
          <w:iCs/>
        </w:rPr>
        <w:t xml:space="preserve"> </w:t>
      </w:r>
      <w:r w:rsidRPr="00E12436">
        <w:t>Foundation, the principal shareholder of the company that publishes the newspaper</w:t>
      </w:r>
      <w:r w:rsidR="00FB2A02" w:rsidRPr="00E12436">
        <w:t>, at that time.</w:t>
      </w:r>
      <w:r w:rsidR="00565CDE" w:rsidRPr="00E12436">
        <w:rPr>
          <w:rStyle w:val="DipnotBavurusu"/>
        </w:rPr>
        <w:footnoteReference w:id="4"/>
      </w:r>
    </w:p>
    <w:p w:rsidR="00FB2A02" w:rsidRPr="00E12436" w:rsidRDefault="00FB2A02" w:rsidP="000D554F">
      <w:pPr>
        <w:spacing w:line="240" w:lineRule="auto"/>
        <w:contextualSpacing/>
        <w:jc w:val="both"/>
      </w:pPr>
    </w:p>
    <w:p w:rsidR="00D56402" w:rsidRPr="00E12436" w:rsidRDefault="00FB2A02" w:rsidP="000D554F">
      <w:pPr>
        <w:spacing w:line="240" w:lineRule="auto"/>
        <w:contextualSpacing/>
        <w:jc w:val="both"/>
      </w:pPr>
      <w:r w:rsidRPr="00E12436">
        <w:t xml:space="preserve">On </w:t>
      </w:r>
      <w:r w:rsidR="005F3DF4" w:rsidRPr="00E12436">
        <w:t>November 2016</w:t>
      </w:r>
      <w:r w:rsidRPr="00E12436">
        <w:t xml:space="preserve"> the applicants</w:t>
      </w:r>
      <w:r w:rsidR="005F3DF4" w:rsidRPr="00E12436">
        <w:t xml:space="preserve"> were placed in pre-trial detention</w:t>
      </w:r>
      <w:r w:rsidRPr="00E12436">
        <w:t xml:space="preserve"> </w:t>
      </w:r>
      <w:r w:rsidR="00000A45" w:rsidRPr="00E12436">
        <w:t>on</w:t>
      </w:r>
      <w:r w:rsidRPr="00E12436">
        <w:t xml:space="preserve"> suspicion of committing offences on behalf of organisations considered by the Government to be terrorist organisations, including, in particular,</w:t>
      </w:r>
      <w:r w:rsidR="00531993" w:rsidRPr="00E12436">
        <w:t xml:space="preserve"> </w:t>
      </w:r>
      <w:r w:rsidRPr="00E12436">
        <w:t>the PKK/KCK (the Kurdistan Workers’ Party / Kurdistan Communities Union) and an organisation referred to by the Turkish authorities as “FETÖ/PDY” (“</w:t>
      </w:r>
      <w:proofErr w:type="spellStart"/>
      <w:r w:rsidRPr="00E12436">
        <w:t>Fethullahist</w:t>
      </w:r>
      <w:proofErr w:type="spellEnd"/>
      <w:r w:rsidRPr="00E12436">
        <w:t> Terror Organisation / Parallel State Structure”), and of disseminating propaganda</w:t>
      </w:r>
      <w:r w:rsidR="00531993" w:rsidRPr="00E12436">
        <w:t xml:space="preserve"> </w:t>
      </w:r>
      <w:r w:rsidRPr="00E12436">
        <w:t>on their behalf.</w:t>
      </w:r>
      <w:r w:rsidR="00842F68" w:rsidRPr="00E12436">
        <w:t xml:space="preserve"> </w:t>
      </w:r>
      <w:r w:rsidR="003525E2" w:rsidRPr="00E12436">
        <w:t>In November the</w:t>
      </w:r>
      <w:r w:rsidR="00566D0D" w:rsidRPr="00E12436">
        <w:t xml:space="preserve">y were placed in pre-trial detention. </w:t>
      </w:r>
      <w:r w:rsidR="00AA51CB" w:rsidRPr="00E12436">
        <w:t>The</w:t>
      </w:r>
      <w:r w:rsidR="00000A45" w:rsidRPr="00E12436">
        <w:t>ir</w:t>
      </w:r>
      <w:r w:rsidR="00842F68" w:rsidRPr="00E12436">
        <w:t xml:space="preserve"> applications for release and objections against the orders for</w:t>
      </w:r>
      <w:r w:rsidR="00AA51CB" w:rsidRPr="00E12436">
        <w:t xml:space="preserve"> </w:t>
      </w:r>
      <w:r w:rsidR="00842F68" w:rsidRPr="00E12436">
        <w:t>their continued pre-trial detention</w:t>
      </w:r>
      <w:r w:rsidR="00AA51CB" w:rsidRPr="00E12436">
        <w:t xml:space="preserve"> were rejected</w:t>
      </w:r>
      <w:r w:rsidR="00A428E7" w:rsidRPr="00E12436">
        <w:t xml:space="preserve"> several times</w:t>
      </w:r>
      <w:r w:rsidR="00EB6341" w:rsidRPr="00E12436">
        <w:t>.</w:t>
      </w:r>
    </w:p>
    <w:p w:rsidR="00531993" w:rsidRPr="00E12436" w:rsidRDefault="00531993" w:rsidP="000D554F">
      <w:pPr>
        <w:spacing w:line="240" w:lineRule="auto"/>
        <w:contextualSpacing/>
        <w:jc w:val="both"/>
      </w:pPr>
    </w:p>
    <w:p w:rsidR="00571B12" w:rsidRPr="00E12436" w:rsidRDefault="00D85446" w:rsidP="000D554F">
      <w:pPr>
        <w:spacing w:line="240" w:lineRule="auto"/>
        <w:contextualSpacing/>
        <w:jc w:val="both"/>
      </w:pPr>
      <w:r w:rsidRPr="00E12436">
        <w:t>In April 2017 the Istanbul public prosecutor’s office filed a bill of indictment against the ten</w:t>
      </w:r>
      <w:r w:rsidR="00121A73" w:rsidRPr="00E12436">
        <w:t xml:space="preserve"> </w:t>
      </w:r>
      <w:r w:rsidRPr="00E12436">
        <w:t>applicants</w:t>
      </w:r>
      <w:r w:rsidR="00531993" w:rsidRPr="00E12436">
        <w:t>.</w:t>
      </w:r>
      <w:r w:rsidR="00AD47C0" w:rsidRPr="00E12436">
        <w:t xml:space="preserve"> They</w:t>
      </w:r>
      <w:r w:rsidR="004C3ED9" w:rsidRPr="00E12436">
        <w:t xml:space="preserve"> were accused mainly of lending assistance to terrorist organisations without being members of them (</w:t>
      </w:r>
      <w:r w:rsidR="00000A45" w:rsidRPr="00E12436">
        <w:t xml:space="preserve">an </w:t>
      </w:r>
      <w:r w:rsidR="004C3ED9" w:rsidRPr="00E12436">
        <w:t>offence under Article 220 § 7 of the C</w:t>
      </w:r>
      <w:r w:rsidR="004E47F8" w:rsidRPr="00E12436">
        <w:t xml:space="preserve">riminal </w:t>
      </w:r>
      <w:r w:rsidR="004C3ED9" w:rsidRPr="00E12436">
        <w:t>C</w:t>
      </w:r>
      <w:r w:rsidR="004E47F8" w:rsidRPr="00E12436">
        <w:t>ode</w:t>
      </w:r>
      <w:r w:rsidR="004C3ED9" w:rsidRPr="00E12436">
        <w:t>).</w:t>
      </w:r>
      <w:r w:rsidR="00AC5C9E" w:rsidRPr="00E12436">
        <w:t xml:space="preserve"> It was primarily alleged in the indictment that</w:t>
      </w:r>
      <w:r w:rsidRPr="00E12436">
        <w:t>, over a</w:t>
      </w:r>
      <w:r w:rsidR="00121A73" w:rsidRPr="00E12436">
        <w:t xml:space="preserve"> </w:t>
      </w:r>
      <w:r w:rsidRPr="00E12436">
        <w:t>period of three years leading up to the attempted coup of 15 July 2016, the editorial stance of</w:t>
      </w:r>
      <w:r w:rsidR="00121A73" w:rsidRPr="00E12436">
        <w:t xml:space="preserve"> </w:t>
      </w:r>
      <w:proofErr w:type="spellStart"/>
      <w:r w:rsidRPr="00E12436">
        <w:rPr>
          <w:i/>
          <w:iCs/>
        </w:rPr>
        <w:t>Cumhuriyet</w:t>
      </w:r>
      <w:proofErr w:type="spellEnd"/>
      <w:r w:rsidRPr="00E12436">
        <w:rPr>
          <w:i/>
          <w:iCs/>
        </w:rPr>
        <w:t xml:space="preserve"> </w:t>
      </w:r>
      <w:r w:rsidRPr="00E12436">
        <w:t>had changed as a result of the applicants’ influence, running counter to the editorial</w:t>
      </w:r>
      <w:r w:rsidR="00571B12" w:rsidRPr="00E12436">
        <w:t xml:space="preserve"> </w:t>
      </w:r>
      <w:r w:rsidRPr="00E12436">
        <w:t xml:space="preserve">principles to which the newspaper had adhered for 90 years. </w:t>
      </w:r>
    </w:p>
    <w:p w:rsidR="00EB6341" w:rsidRPr="00E12436" w:rsidRDefault="00EB6341" w:rsidP="000D554F">
      <w:pPr>
        <w:spacing w:line="240" w:lineRule="auto"/>
        <w:contextualSpacing/>
        <w:jc w:val="both"/>
      </w:pPr>
    </w:p>
    <w:p w:rsidR="00EB6341" w:rsidRPr="00E12436" w:rsidRDefault="00EB6341" w:rsidP="0069650C">
      <w:pPr>
        <w:spacing w:line="240" w:lineRule="auto"/>
        <w:contextualSpacing/>
        <w:jc w:val="both"/>
      </w:pPr>
      <w:r w:rsidRPr="00E12436">
        <w:t>In July 2017, following a hearing, the Istanbul Assize Court ordered the release of seven of the</w:t>
      </w:r>
      <w:r w:rsidR="00633C22" w:rsidRPr="00E12436">
        <w:t xml:space="preserve"> </w:t>
      </w:r>
      <w:r w:rsidRPr="00E12436">
        <w:t xml:space="preserve">applicants. </w:t>
      </w:r>
      <w:r w:rsidR="004E47F8" w:rsidRPr="00E12436">
        <w:t>The trial court</w:t>
      </w:r>
      <w:r w:rsidRPr="00E12436">
        <w:t xml:space="preserve"> ordered the release of the remaining three applicants in September 2017 (</w:t>
      </w:r>
      <w:proofErr w:type="spellStart"/>
      <w:r w:rsidRPr="00E12436">
        <w:t>Ahmet</w:t>
      </w:r>
      <w:proofErr w:type="spellEnd"/>
      <w:r w:rsidRPr="00E12436">
        <w:t xml:space="preserve"> </w:t>
      </w:r>
      <w:proofErr w:type="spellStart"/>
      <w:r w:rsidRPr="00E12436">
        <w:t>Kadri</w:t>
      </w:r>
      <w:proofErr w:type="spellEnd"/>
      <w:r w:rsidR="004E47F8" w:rsidRPr="00E12436">
        <w:t xml:space="preserve"> </w:t>
      </w:r>
      <w:proofErr w:type="spellStart"/>
      <w:r w:rsidRPr="00E12436">
        <w:t>Gürsel</w:t>
      </w:r>
      <w:proofErr w:type="spellEnd"/>
      <w:r w:rsidRPr="00E12436">
        <w:t>), March 2018 (</w:t>
      </w:r>
      <w:proofErr w:type="spellStart"/>
      <w:r w:rsidRPr="00E12436">
        <w:t>Mehmet</w:t>
      </w:r>
      <w:proofErr w:type="spellEnd"/>
      <w:r w:rsidRPr="00E12436">
        <w:t xml:space="preserve"> Murat </w:t>
      </w:r>
      <w:proofErr w:type="spellStart"/>
      <w:r w:rsidRPr="00E12436">
        <w:t>Sabuncu</w:t>
      </w:r>
      <w:proofErr w:type="spellEnd"/>
      <w:r w:rsidRPr="00E12436">
        <w:t>) and April 2018 (</w:t>
      </w:r>
      <w:proofErr w:type="spellStart"/>
      <w:r w:rsidRPr="00E12436">
        <w:t>Akın</w:t>
      </w:r>
      <w:proofErr w:type="spellEnd"/>
      <w:r w:rsidRPr="00E12436">
        <w:t xml:space="preserve"> </w:t>
      </w:r>
      <w:proofErr w:type="spellStart"/>
      <w:r w:rsidRPr="00E12436">
        <w:t>Atalay</w:t>
      </w:r>
      <w:proofErr w:type="spellEnd"/>
      <w:r w:rsidRPr="00E12436">
        <w:t>).</w:t>
      </w:r>
    </w:p>
    <w:p w:rsidR="00807CD2" w:rsidRPr="00E12436" w:rsidRDefault="00807CD2" w:rsidP="000D554F">
      <w:pPr>
        <w:spacing w:line="240" w:lineRule="auto"/>
        <w:contextualSpacing/>
        <w:jc w:val="both"/>
      </w:pPr>
    </w:p>
    <w:p w:rsidR="00EB6341" w:rsidRPr="00E12436" w:rsidRDefault="00EB6341" w:rsidP="000D554F">
      <w:pPr>
        <w:spacing w:line="240" w:lineRule="auto"/>
        <w:contextualSpacing/>
        <w:jc w:val="both"/>
      </w:pPr>
      <w:r w:rsidRPr="00E12436">
        <w:t>In the meantime, in December 2016, the applicants lodged individual applications with the</w:t>
      </w:r>
      <w:r w:rsidR="004D38F2" w:rsidRPr="00E12436">
        <w:t xml:space="preserve"> </w:t>
      </w:r>
      <w:r w:rsidRPr="00E12436">
        <w:t>Constitutional Court, alleging a breach of their right to liberty and security and their right to freedom</w:t>
      </w:r>
    </w:p>
    <w:p w:rsidR="0047473D" w:rsidRPr="00E12436" w:rsidRDefault="00EB6341" w:rsidP="000D554F">
      <w:pPr>
        <w:spacing w:line="240" w:lineRule="auto"/>
        <w:contextualSpacing/>
        <w:jc w:val="both"/>
      </w:pPr>
      <w:proofErr w:type="gramStart"/>
      <w:r w:rsidRPr="00E12436">
        <w:t>of</w:t>
      </w:r>
      <w:proofErr w:type="gramEnd"/>
      <w:r w:rsidRPr="00E12436">
        <w:t xml:space="preserve"> expression and freedom of the press. </w:t>
      </w:r>
      <w:r w:rsidR="004D38F2" w:rsidRPr="00E12436">
        <w:t xml:space="preserve">They also maintained that they had been arrested </w:t>
      </w:r>
      <w:r w:rsidR="009D4330" w:rsidRPr="00E12436">
        <w:t xml:space="preserve">and detained on the grounds other than those provided by the Turkish Constitution and the Convention. </w:t>
      </w:r>
    </w:p>
    <w:p w:rsidR="00EB6341" w:rsidRPr="00E12436" w:rsidRDefault="00EB6341" w:rsidP="000D554F">
      <w:pPr>
        <w:spacing w:line="240" w:lineRule="auto"/>
        <w:contextualSpacing/>
        <w:jc w:val="both"/>
      </w:pPr>
      <w:r w:rsidRPr="00E12436">
        <w:t xml:space="preserve">The Constitutional Court found </w:t>
      </w:r>
      <w:r w:rsidR="008E2E88" w:rsidRPr="00E12436">
        <w:t>a violation</w:t>
      </w:r>
      <w:r w:rsidRPr="00E12436">
        <w:t xml:space="preserve"> of </w:t>
      </w:r>
      <w:r w:rsidR="0068650C" w:rsidRPr="00E12436">
        <w:t>Article 19 (right to liberty and security of person) and Articles 26 and 28 (freedom of expression and freedom of the press respectively) of the Constitution</w:t>
      </w:r>
      <w:r w:rsidR="00246F3E" w:rsidRPr="00E12436">
        <w:t xml:space="preserve"> </w:t>
      </w:r>
      <w:r w:rsidRPr="00E12436">
        <w:t>in</w:t>
      </w:r>
      <w:r w:rsidR="00012196" w:rsidRPr="00E12436">
        <w:t xml:space="preserve"> </w:t>
      </w:r>
      <w:r w:rsidRPr="00E12436">
        <w:t xml:space="preserve">the case of </w:t>
      </w:r>
      <w:proofErr w:type="spellStart"/>
      <w:r w:rsidRPr="00E12436">
        <w:t>Turhan</w:t>
      </w:r>
      <w:proofErr w:type="spellEnd"/>
      <w:r w:rsidRPr="00E12436">
        <w:t xml:space="preserve"> </w:t>
      </w:r>
      <w:proofErr w:type="spellStart"/>
      <w:r w:rsidRPr="00E12436">
        <w:t>Günay</w:t>
      </w:r>
      <w:proofErr w:type="spellEnd"/>
      <w:r w:rsidRPr="00E12436">
        <w:t xml:space="preserve"> (January 2018) and </w:t>
      </w:r>
      <w:proofErr w:type="spellStart"/>
      <w:r w:rsidRPr="00E12436">
        <w:t>Ahmet</w:t>
      </w:r>
      <w:proofErr w:type="spellEnd"/>
      <w:r w:rsidRPr="00E12436">
        <w:t xml:space="preserve"> </w:t>
      </w:r>
      <w:proofErr w:type="spellStart"/>
      <w:r w:rsidRPr="00E12436">
        <w:t>Kadri</w:t>
      </w:r>
      <w:proofErr w:type="spellEnd"/>
      <w:r w:rsidRPr="00E12436">
        <w:t xml:space="preserve"> </w:t>
      </w:r>
      <w:proofErr w:type="spellStart"/>
      <w:r w:rsidRPr="00E12436">
        <w:t>Gürsel</w:t>
      </w:r>
      <w:proofErr w:type="spellEnd"/>
      <w:r w:rsidRPr="00E12436">
        <w:t xml:space="preserve"> (May 2019), and found no</w:t>
      </w:r>
      <w:r w:rsidR="00012196" w:rsidRPr="00E12436">
        <w:t xml:space="preserve"> </w:t>
      </w:r>
      <w:r w:rsidRPr="00E12436">
        <w:t>violation of the rights of the remaining eight applicants (May 2019).</w:t>
      </w:r>
    </w:p>
    <w:p w:rsidR="00B124CB" w:rsidRPr="00E12436" w:rsidRDefault="00B124CB" w:rsidP="00B44014">
      <w:pPr>
        <w:spacing w:line="240" w:lineRule="auto"/>
        <w:contextualSpacing/>
        <w:jc w:val="both"/>
      </w:pPr>
    </w:p>
    <w:p w:rsidR="00576890" w:rsidRPr="00E12436" w:rsidRDefault="0035585B" w:rsidP="00246F3E">
      <w:pPr>
        <w:spacing w:line="240" w:lineRule="auto"/>
        <w:contextualSpacing/>
        <w:jc w:val="both"/>
      </w:pPr>
      <w:r w:rsidRPr="00E12436">
        <w:t>While the two of the applicant</w:t>
      </w:r>
      <w:r w:rsidR="00004B2B" w:rsidRPr="00E12436">
        <w:t xml:space="preserve">s, </w:t>
      </w:r>
      <w:proofErr w:type="spellStart"/>
      <w:r w:rsidR="00004B2B" w:rsidRPr="00E12436">
        <w:t>Turhan</w:t>
      </w:r>
      <w:proofErr w:type="spellEnd"/>
      <w:r w:rsidR="00004B2B" w:rsidRPr="00E12436">
        <w:t xml:space="preserve"> </w:t>
      </w:r>
      <w:proofErr w:type="spellStart"/>
      <w:r w:rsidR="00004B2B" w:rsidRPr="00E12436">
        <w:t>Günay</w:t>
      </w:r>
      <w:proofErr w:type="spellEnd"/>
      <w:r w:rsidR="00004B2B" w:rsidRPr="00E12436">
        <w:t xml:space="preserve"> and </w:t>
      </w:r>
      <w:proofErr w:type="spellStart"/>
      <w:r w:rsidR="00004B2B" w:rsidRPr="00E12436">
        <w:t>Ahmet</w:t>
      </w:r>
      <w:proofErr w:type="spellEnd"/>
      <w:r w:rsidR="00004B2B" w:rsidRPr="00E12436">
        <w:t xml:space="preserve"> </w:t>
      </w:r>
      <w:proofErr w:type="spellStart"/>
      <w:r w:rsidR="00004B2B" w:rsidRPr="00E12436">
        <w:t>Kadri</w:t>
      </w:r>
      <w:proofErr w:type="spellEnd"/>
      <w:r w:rsidR="00004B2B" w:rsidRPr="00E12436">
        <w:t xml:space="preserve"> </w:t>
      </w:r>
      <w:proofErr w:type="spellStart"/>
      <w:r w:rsidR="00004B2B" w:rsidRPr="00E12436">
        <w:t>Gürsel</w:t>
      </w:r>
      <w:proofErr w:type="spellEnd"/>
      <w:r w:rsidR="00004B2B" w:rsidRPr="00E12436">
        <w:t xml:space="preserve"> were </w:t>
      </w:r>
      <w:r w:rsidR="00B56E23" w:rsidRPr="00E12436">
        <w:t xml:space="preserve">acquitted </w:t>
      </w:r>
      <w:r w:rsidR="00AE1AC1" w:rsidRPr="00E12436">
        <w:t xml:space="preserve">respectively </w:t>
      </w:r>
      <w:r w:rsidR="00B56E23" w:rsidRPr="00E12436">
        <w:t>in April 2018 and in November 2019</w:t>
      </w:r>
      <w:r w:rsidR="00E5462B" w:rsidRPr="00E12436">
        <w:t xml:space="preserve">, the </w:t>
      </w:r>
      <w:r w:rsidR="00340718" w:rsidRPr="00E12436">
        <w:t>remaining app</w:t>
      </w:r>
      <w:r w:rsidR="00C17B50" w:rsidRPr="00E12436">
        <w:t>l</w:t>
      </w:r>
      <w:r w:rsidR="00340718" w:rsidRPr="00E12436">
        <w:t xml:space="preserve">icants were convicted by the </w:t>
      </w:r>
      <w:r w:rsidR="00C17B50" w:rsidRPr="00E12436">
        <w:t>Istanbul Assi</w:t>
      </w:r>
      <w:r w:rsidR="001B61B5" w:rsidRPr="00E12436">
        <w:t>z</w:t>
      </w:r>
      <w:r w:rsidR="00C17B50" w:rsidRPr="00E12436">
        <w:t xml:space="preserve">e Court, and their cases are still pending before </w:t>
      </w:r>
      <w:r w:rsidR="003E0FB3" w:rsidRPr="00E12436">
        <w:t>the plenary criminal divisions of the Court of Cassation</w:t>
      </w:r>
    </w:p>
    <w:p w:rsidR="00576890" w:rsidRPr="00E12436" w:rsidRDefault="00576890" w:rsidP="00C17B50">
      <w:pPr>
        <w:spacing w:line="240" w:lineRule="auto"/>
        <w:contextualSpacing/>
      </w:pPr>
    </w:p>
    <w:p w:rsidR="00D85446" w:rsidRPr="00E12436" w:rsidRDefault="002903B1" w:rsidP="00842F68">
      <w:pPr>
        <w:spacing w:line="240" w:lineRule="auto"/>
        <w:contextualSpacing/>
        <w:rPr>
          <w:u w:val="single"/>
        </w:rPr>
      </w:pPr>
      <w:r w:rsidRPr="00E12436">
        <w:rPr>
          <w:u w:val="single"/>
        </w:rPr>
        <w:t>Judgment</w:t>
      </w:r>
    </w:p>
    <w:p w:rsidR="008B67D9" w:rsidRPr="00E12436" w:rsidRDefault="00955F4D" w:rsidP="00A756C1">
      <w:pPr>
        <w:autoSpaceDE w:val="0"/>
        <w:autoSpaceDN w:val="0"/>
        <w:adjustRightInd w:val="0"/>
        <w:spacing w:after="0" w:line="240" w:lineRule="auto"/>
        <w:jc w:val="both"/>
        <w:rPr>
          <w:rFonts w:ascii="Calibri" w:hAnsi="Calibri" w:cs="Calibri"/>
        </w:rPr>
      </w:pPr>
      <w:r w:rsidRPr="00E12436">
        <w:t xml:space="preserve">Before the </w:t>
      </w:r>
      <w:proofErr w:type="spellStart"/>
      <w:r w:rsidRPr="00E12436">
        <w:t>ECtHR</w:t>
      </w:r>
      <w:proofErr w:type="spellEnd"/>
      <w:r w:rsidRPr="00E12436">
        <w:t xml:space="preserve">, the applicants </w:t>
      </w:r>
      <w:r w:rsidR="00A6645E" w:rsidRPr="00E12436">
        <w:t>argued</w:t>
      </w:r>
      <w:r w:rsidR="00FB46B5" w:rsidRPr="00E12436">
        <w:t xml:space="preserve"> </w:t>
      </w:r>
      <w:r w:rsidR="00F6419D" w:rsidRPr="00E12436">
        <w:t xml:space="preserve">under Article 5 § 1 </w:t>
      </w:r>
      <w:r w:rsidR="00CA65F4" w:rsidRPr="00E12436">
        <w:t>that their initial and continued detention had been arbitrary and not based on any concrete evidence grounding a reasonable suspicion that they had committed a criminal offence.</w:t>
      </w:r>
      <w:r w:rsidR="007511DF" w:rsidRPr="00E12436">
        <w:t xml:space="preserve"> </w:t>
      </w:r>
      <w:r w:rsidR="00FB46B5" w:rsidRPr="00E12436">
        <w:t>The</w:t>
      </w:r>
      <w:r w:rsidR="00E957AA" w:rsidRPr="00E12436">
        <w:t xml:space="preserve"> applicants</w:t>
      </w:r>
      <w:r w:rsidR="00FB46B5" w:rsidRPr="00E12436">
        <w:t xml:space="preserve"> also complained under Article 5 § 4 </w:t>
      </w:r>
      <w:r w:rsidR="003A3080" w:rsidRPr="00E12436">
        <w:t>about the length of the proceedings before the Constitutional Court.</w:t>
      </w:r>
      <w:r w:rsidR="00E957AA" w:rsidRPr="00E12436">
        <w:t xml:space="preserve"> </w:t>
      </w:r>
      <w:r w:rsidR="00EE48AF" w:rsidRPr="00E12436">
        <w:t>Relying on Article 10, the applicants</w:t>
      </w:r>
      <w:r w:rsidR="00AD1924" w:rsidRPr="00E12436">
        <w:t xml:space="preserve"> also</w:t>
      </w:r>
      <w:r w:rsidR="00EE48AF" w:rsidRPr="00E12436">
        <w:t xml:space="preserve"> alleged a breach of their freedom of expression, complaining in particular of the fact that the editorial stance of a newspaper criticising certain government policies had been considered as evidence in support of charges of assisting terrorist organisations or disseminating propaganda in favour of those organisations.</w:t>
      </w:r>
      <w:r w:rsidR="00AD1924" w:rsidRPr="00E12436">
        <w:t xml:space="preserve"> </w:t>
      </w:r>
      <w:r w:rsidR="008B67D9" w:rsidRPr="00E12436">
        <w:t xml:space="preserve">Moreover, under Article 18 </w:t>
      </w:r>
      <w:r w:rsidR="00BC0C3A" w:rsidRPr="00E12436">
        <w:rPr>
          <w:rFonts w:ascii="Calibri" w:hAnsi="Calibri" w:cs="Calibri"/>
        </w:rPr>
        <w:t>in conjunction with Articles 5 and 10</w:t>
      </w:r>
      <w:r w:rsidR="008B67D9" w:rsidRPr="00E12436">
        <w:rPr>
          <w:rFonts w:ascii="Calibri" w:hAnsi="Calibri" w:cs="Calibri"/>
        </w:rPr>
        <w:t xml:space="preserve">, the applicants alleged that their detention had been designed to punish them for their criticism of the </w:t>
      </w:r>
      <w:r w:rsidR="008B67D9" w:rsidRPr="00E12436">
        <w:rPr>
          <w:rFonts w:ascii="Calibri" w:hAnsi="Calibri" w:cs="Calibri"/>
        </w:rPr>
        <w:lastRenderedPageBreak/>
        <w:t>government</w:t>
      </w:r>
      <w:r w:rsidR="00BC0C3A" w:rsidRPr="00E12436">
        <w:rPr>
          <w:rFonts w:ascii="Calibri" w:hAnsi="Calibri" w:cs="Calibri"/>
        </w:rPr>
        <w:t>, arguing that the purpose of their initial and continued detention had been to subject them to judicial harassment on account of their journalistic activities.</w:t>
      </w:r>
    </w:p>
    <w:p w:rsidR="00393859" w:rsidRPr="00E12436" w:rsidRDefault="00393859" w:rsidP="00A756C1">
      <w:pPr>
        <w:autoSpaceDE w:val="0"/>
        <w:autoSpaceDN w:val="0"/>
        <w:adjustRightInd w:val="0"/>
        <w:spacing w:after="0" w:line="240" w:lineRule="auto"/>
        <w:jc w:val="both"/>
        <w:rPr>
          <w:rFonts w:ascii="Calibri" w:hAnsi="Calibri" w:cs="Calibri"/>
        </w:rPr>
      </w:pPr>
    </w:p>
    <w:p w:rsidR="00393859" w:rsidRPr="00E12436" w:rsidRDefault="005D1DDE" w:rsidP="00A756C1">
      <w:pPr>
        <w:autoSpaceDE w:val="0"/>
        <w:autoSpaceDN w:val="0"/>
        <w:adjustRightInd w:val="0"/>
        <w:spacing w:after="0" w:line="240" w:lineRule="auto"/>
        <w:jc w:val="both"/>
        <w:rPr>
          <w:rFonts w:ascii="Calibri" w:hAnsi="Calibri" w:cs="Calibri"/>
        </w:rPr>
      </w:pPr>
      <w:r w:rsidRPr="00E12436">
        <w:rPr>
          <w:rFonts w:ascii="Calibri" w:hAnsi="Calibri" w:cs="Calibri"/>
        </w:rPr>
        <w:t>First of all,</w:t>
      </w:r>
      <w:r w:rsidR="00845A32" w:rsidRPr="00E12436">
        <w:rPr>
          <w:rFonts w:ascii="Calibri" w:hAnsi="Calibri" w:cs="Calibri"/>
        </w:rPr>
        <w:t xml:space="preserve"> </w:t>
      </w:r>
      <w:r w:rsidR="0059579C" w:rsidRPr="00E12436">
        <w:rPr>
          <w:rFonts w:ascii="Calibri" w:hAnsi="Calibri" w:cs="Calibri"/>
        </w:rPr>
        <w:t>considering the Constitutional Court</w:t>
      </w:r>
      <w:r w:rsidR="00D4381D" w:rsidRPr="00E12436">
        <w:rPr>
          <w:rFonts w:ascii="Calibri" w:hAnsi="Calibri" w:cs="Calibri"/>
        </w:rPr>
        <w:t>’s judgment</w:t>
      </w:r>
      <w:r w:rsidR="002D67B9" w:rsidRPr="00E12436">
        <w:rPr>
          <w:rFonts w:ascii="Calibri" w:hAnsi="Calibri" w:cs="Calibri"/>
        </w:rPr>
        <w:t xml:space="preserve"> finding violation</w:t>
      </w:r>
      <w:r w:rsidR="00CF2652" w:rsidRPr="00E12436">
        <w:rPr>
          <w:rFonts w:ascii="Calibri" w:hAnsi="Calibri" w:cs="Calibri"/>
        </w:rPr>
        <w:t>s</w:t>
      </w:r>
      <w:r w:rsidR="002D67B9" w:rsidRPr="00E12436">
        <w:rPr>
          <w:rFonts w:ascii="Calibri" w:hAnsi="Calibri" w:cs="Calibri"/>
        </w:rPr>
        <w:t xml:space="preserve"> in respect of the complai</w:t>
      </w:r>
      <w:r w:rsidR="00226FC9" w:rsidRPr="00E12436">
        <w:rPr>
          <w:rFonts w:ascii="Calibri" w:hAnsi="Calibri" w:cs="Calibri"/>
        </w:rPr>
        <w:t xml:space="preserve">nts of </w:t>
      </w:r>
      <w:proofErr w:type="spellStart"/>
      <w:r w:rsidR="00226FC9" w:rsidRPr="00E12436">
        <w:rPr>
          <w:rFonts w:ascii="Calibri" w:hAnsi="Calibri" w:cs="Calibri"/>
        </w:rPr>
        <w:t>Turhan</w:t>
      </w:r>
      <w:proofErr w:type="spellEnd"/>
      <w:r w:rsidR="00226FC9" w:rsidRPr="00E12436">
        <w:rPr>
          <w:rFonts w:ascii="Calibri" w:hAnsi="Calibri" w:cs="Calibri"/>
        </w:rPr>
        <w:t xml:space="preserve"> </w:t>
      </w:r>
      <w:proofErr w:type="spellStart"/>
      <w:r w:rsidR="00226FC9" w:rsidRPr="00E12436">
        <w:rPr>
          <w:rFonts w:ascii="Calibri" w:hAnsi="Calibri" w:cs="Calibri"/>
        </w:rPr>
        <w:t>Günay</w:t>
      </w:r>
      <w:proofErr w:type="spellEnd"/>
      <w:r w:rsidR="00226FC9" w:rsidRPr="00E12436">
        <w:rPr>
          <w:rFonts w:ascii="Calibri" w:hAnsi="Calibri" w:cs="Calibri"/>
        </w:rPr>
        <w:t xml:space="preserve"> and </w:t>
      </w:r>
      <w:proofErr w:type="spellStart"/>
      <w:r w:rsidR="00226FC9" w:rsidRPr="00E12436">
        <w:rPr>
          <w:rFonts w:ascii="Calibri" w:hAnsi="Calibri" w:cs="Calibri"/>
        </w:rPr>
        <w:t>Ahmet</w:t>
      </w:r>
      <w:proofErr w:type="spellEnd"/>
      <w:r w:rsidR="00226FC9" w:rsidRPr="00E12436">
        <w:rPr>
          <w:rFonts w:ascii="Calibri" w:hAnsi="Calibri" w:cs="Calibri"/>
        </w:rPr>
        <w:t xml:space="preserve"> </w:t>
      </w:r>
      <w:proofErr w:type="spellStart"/>
      <w:r w:rsidR="00226FC9" w:rsidRPr="00E12436">
        <w:rPr>
          <w:rFonts w:ascii="Calibri" w:hAnsi="Calibri" w:cs="Calibri"/>
        </w:rPr>
        <w:t>Kadri</w:t>
      </w:r>
      <w:proofErr w:type="spellEnd"/>
      <w:r w:rsidR="00226FC9" w:rsidRPr="00E12436">
        <w:rPr>
          <w:rFonts w:ascii="Calibri" w:hAnsi="Calibri" w:cs="Calibri"/>
        </w:rPr>
        <w:t xml:space="preserve"> </w:t>
      </w:r>
      <w:proofErr w:type="spellStart"/>
      <w:r w:rsidR="00226FC9" w:rsidRPr="00E12436">
        <w:rPr>
          <w:rFonts w:ascii="Calibri" w:hAnsi="Calibri" w:cs="Calibri"/>
        </w:rPr>
        <w:t>Gürsel</w:t>
      </w:r>
      <w:proofErr w:type="spellEnd"/>
      <w:r w:rsidR="00226FC9" w:rsidRPr="00E12436">
        <w:rPr>
          <w:rFonts w:ascii="Calibri" w:hAnsi="Calibri" w:cs="Calibri"/>
        </w:rPr>
        <w:t xml:space="preserve">, </w:t>
      </w:r>
      <w:r w:rsidR="00845A32" w:rsidRPr="00E12436">
        <w:rPr>
          <w:rFonts w:ascii="Calibri" w:hAnsi="Calibri" w:cs="Calibri"/>
        </w:rPr>
        <w:t xml:space="preserve">the </w:t>
      </w:r>
      <w:proofErr w:type="spellStart"/>
      <w:r w:rsidR="00845A32" w:rsidRPr="00E12436">
        <w:rPr>
          <w:rFonts w:ascii="Calibri" w:hAnsi="Calibri" w:cs="Calibri"/>
        </w:rPr>
        <w:t>ECtHR</w:t>
      </w:r>
      <w:proofErr w:type="spellEnd"/>
      <w:r w:rsidR="00845A32" w:rsidRPr="00E12436">
        <w:rPr>
          <w:rFonts w:ascii="Calibri" w:hAnsi="Calibri" w:cs="Calibri"/>
        </w:rPr>
        <w:t xml:space="preserve"> declared</w:t>
      </w:r>
      <w:r w:rsidRPr="00E12436">
        <w:rPr>
          <w:rFonts w:ascii="Calibri" w:hAnsi="Calibri" w:cs="Calibri"/>
        </w:rPr>
        <w:t xml:space="preserve"> </w:t>
      </w:r>
      <w:r w:rsidR="00C32078" w:rsidRPr="00E12436">
        <w:rPr>
          <w:rFonts w:ascii="Calibri" w:hAnsi="Calibri" w:cs="Calibri"/>
        </w:rPr>
        <w:t>those two applicants’</w:t>
      </w:r>
      <w:r w:rsidR="00393859" w:rsidRPr="00E12436">
        <w:rPr>
          <w:rFonts w:ascii="Calibri" w:hAnsi="Calibri" w:cs="Calibri"/>
        </w:rPr>
        <w:t xml:space="preserve"> applications inadmissible, except in relation to their complaints concerning the time taken to examine their applications to the Constitutional Court challenging the lawfulness of their pre-trial detention (Article 5 § 4 of the Convention).</w:t>
      </w:r>
      <w:r w:rsidR="00F40FED" w:rsidRPr="00E12436">
        <w:rPr>
          <w:rFonts w:ascii="Calibri" w:hAnsi="Calibri" w:cs="Calibri"/>
        </w:rPr>
        <w:t xml:space="preserve"> </w:t>
      </w:r>
    </w:p>
    <w:p w:rsidR="00C32078" w:rsidRPr="00E12436" w:rsidRDefault="00C32078" w:rsidP="00A756C1">
      <w:pPr>
        <w:autoSpaceDE w:val="0"/>
        <w:autoSpaceDN w:val="0"/>
        <w:adjustRightInd w:val="0"/>
        <w:spacing w:after="0" w:line="240" w:lineRule="auto"/>
        <w:jc w:val="both"/>
        <w:rPr>
          <w:rFonts w:ascii="Calibri" w:hAnsi="Calibri" w:cs="Calibri"/>
        </w:rPr>
      </w:pPr>
    </w:p>
    <w:p w:rsidR="00417B1C" w:rsidRPr="00E12436" w:rsidRDefault="0028045D" w:rsidP="00A756C1">
      <w:pPr>
        <w:autoSpaceDE w:val="0"/>
        <w:autoSpaceDN w:val="0"/>
        <w:adjustRightInd w:val="0"/>
        <w:spacing w:after="0" w:line="240" w:lineRule="auto"/>
        <w:jc w:val="both"/>
        <w:rPr>
          <w:rFonts w:ascii="Calibri" w:hAnsi="Calibri" w:cs="Calibri"/>
        </w:rPr>
      </w:pPr>
      <w:r w:rsidRPr="00E12436">
        <w:rPr>
          <w:rFonts w:ascii="Calibri" w:hAnsi="Calibri" w:cs="Calibri"/>
        </w:rPr>
        <w:t xml:space="preserve">As regards the complaint </w:t>
      </w:r>
      <w:r w:rsidR="001536D2" w:rsidRPr="00E12436">
        <w:rPr>
          <w:rFonts w:ascii="Calibri" w:hAnsi="Calibri" w:cs="Calibri"/>
        </w:rPr>
        <w:t xml:space="preserve">under </w:t>
      </w:r>
      <w:r w:rsidR="004843C9" w:rsidRPr="00E12436">
        <w:rPr>
          <w:rFonts w:ascii="Calibri" w:hAnsi="Calibri" w:cs="Calibri"/>
          <w:b/>
          <w:bCs/>
        </w:rPr>
        <w:t>Article 5 § 1</w:t>
      </w:r>
      <w:r w:rsidR="001536D2" w:rsidRPr="00E12436">
        <w:rPr>
          <w:rFonts w:ascii="Calibri" w:hAnsi="Calibri" w:cs="Calibri"/>
        </w:rPr>
        <w:t>, the Court found t</w:t>
      </w:r>
      <w:r w:rsidR="00A4096B" w:rsidRPr="00E12436">
        <w:rPr>
          <w:rFonts w:ascii="Calibri" w:hAnsi="Calibri" w:cs="Calibri"/>
        </w:rPr>
        <w:t xml:space="preserve">hat </w:t>
      </w:r>
      <w:r w:rsidR="00A92EE0" w:rsidRPr="00E12436">
        <w:rPr>
          <w:rFonts w:ascii="Calibri" w:hAnsi="Calibri" w:cs="Calibri"/>
        </w:rPr>
        <w:t xml:space="preserve">the suspicion against the applicants </w:t>
      </w:r>
      <w:r w:rsidR="004E47F8" w:rsidRPr="00E12436">
        <w:rPr>
          <w:rFonts w:ascii="Calibri" w:hAnsi="Calibri" w:cs="Calibri"/>
        </w:rPr>
        <w:t>‘</w:t>
      </w:r>
      <w:r w:rsidR="00A92EE0" w:rsidRPr="00E12436">
        <w:rPr>
          <w:rFonts w:ascii="Calibri" w:hAnsi="Calibri" w:cs="Calibri"/>
        </w:rPr>
        <w:t>did not reach the required minimum level of reasonableness</w:t>
      </w:r>
      <w:r w:rsidR="004E47F8" w:rsidRPr="00E12436">
        <w:rPr>
          <w:rFonts w:ascii="Calibri" w:hAnsi="Calibri" w:cs="Calibri"/>
        </w:rPr>
        <w:t>’</w:t>
      </w:r>
      <w:r w:rsidR="00E071B9" w:rsidRPr="00E12436">
        <w:rPr>
          <w:rFonts w:ascii="Calibri" w:hAnsi="Calibri" w:cs="Calibri"/>
        </w:rPr>
        <w:t xml:space="preserve"> and that </w:t>
      </w:r>
      <w:r w:rsidR="00904F5E" w:rsidRPr="00E12436">
        <w:rPr>
          <w:rFonts w:ascii="Calibri" w:hAnsi="Calibri" w:cs="Calibri"/>
        </w:rPr>
        <w:t>their</w:t>
      </w:r>
      <w:r w:rsidR="00E071B9" w:rsidRPr="00E12436">
        <w:rPr>
          <w:rFonts w:ascii="Calibri" w:hAnsi="Calibri" w:cs="Calibri"/>
        </w:rPr>
        <w:t xml:space="preserve"> pre-trial detention were based on a mere suspicion</w:t>
      </w:r>
      <w:r w:rsidR="00D36DEF" w:rsidRPr="00E12436">
        <w:rPr>
          <w:rFonts w:ascii="Calibri" w:hAnsi="Calibri" w:cs="Calibri"/>
        </w:rPr>
        <w:t xml:space="preserve">, </w:t>
      </w:r>
      <w:r w:rsidR="004B6EB1" w:rsidRPr="00E12436">
        <w:rPr>
          <w:rFonts w:ascii="Calibri" w:hAnsi="Calibri" w:cs="Calibri"/>
        </w:rPr>
        <w:t>thus, it</w:t>
      </w:r>
      <w:r w:rsidR="00DE2FE7" w:rsidRPr="00E12436">
        <w:rPr>
          <w:rFonts w:ascii="Calibri" w:hAnsi="Calibri" w:cs="Calibri"/>
        </w:rPr>
        <w:t xml:space="preserve"> found a v</w:t>
      </w:r>
      <w:r w:rsidR="00417B1C" w:rsidRPr="00E12436">
        <w:rPr>
          <w:rFonts w:ascii="Calibri" w:hAnsi="Calibri" w:cs="Calibri"/>
        </w:rPr>
        <w:t>iolation of Article 5 § 1 of the Convention</w:t>
      </w:r>
      <w:r w:rsidR="004B6EB1" w:rsidRPr="00E12436">
        <w:rPr>
          <w:rFonts w:ascii="Calibri" w:hAnsi="Calibri" w:cs="Calibri"/>
        </w:rPr>
        <w:t>.</w:t>
      </w:r>
      <w:r w:rsidR="00DE2FE7" w:rsidRPr="00E12436">
        <w:rPr>
          <w:rFonts w:ascii="Calibri" w:hAnsi="Calibri" w:cs="Calibri"/>
        </w:rPr>
        <w:t xml:space="preserve"> </w:t>
      </w:r>
    </w:p>
    <w:p w:rsidR="005C1C63" w:rsidRPr="00E12436" w:rsidRDefault="00E071B9" w:rsidP="00A756C1">
      <w:pPr>
        <w:autoSpaceDE w:val="0"/>
        <w:autoSpaceDN w:val="0"/>
        <w:adjustRightInd w:val="0"/>
        <w:spacing w:after="0" w:line="240" w:lineRule="auto"/>
        <w:jc w:val="both"/>
        <w:rPr>
          <w:rFonts w:ascii="Calibri" w:hAnsi="Calibri" w:cs="Calibri"/>
        </w:rPr>
      </w:pPr>
      <w:r w:rsidRPr="00E12436">
        <w:rPr>
          <w:rFonts w:ascii="Calibri" w:hAnsi="Calibri" w:cs="Calibri"/>
        </w:rPr>
        <w:t>In this v</w:t>
      </w:r>
      <w:r w:rsidR="002105F6" w:rsidRPr="00E12436">
        <w:rPr>
          <w:rFonts w:ascii="Calibri" w:hAnsi="Calibri" w:cs="Calibri"/>
        </w:rPr>
        <w:t>ein</w:t>
      </w:r>
      <w:r w:rsidR="00904F5E" w:rsidRPr="00E12436">
        <w:rPr>
          <w:rFonts w:ascii="Calibri" w:hAnsi="Calibri" w:cs="Calibri"/>
        </w:rPr>
        <w:t xml:space="preserve">, </w:t>
      </w:r>
      <w:r w:rsidR="002105F6" w:rsidRPr="00E12436">
        <w:rPr>
          <w:rFonts w:ascii="Calibri" w:hAnsi="Calibri" w:cs="Calibri"/>
        </w:rPr>
        <w:t xml:space="preserve">the Court </w:t>
      </w:r>
      <w:r w:rsidR="003129B2" w:rsidRPr="00E12436">
        <w:rPr>
          <w:rFonts w:ascii="Calibri" w:hAnsi="Calibri" w:cs="Calibri"/>
        </w:rPr>
        <w:t>examined</w:t>
      </w:r>
      <w:r w:rsidR="004E47F8" w:rsidRPr="00E12436">
        <w:rPr>
          <w:rFonts w:ascii="Calibri" w:hAnsi="Calibri" w:cs="Calibri"/>
        </w:rPr>
        <w:t>,</w:t>
      </w:r>
      <w:r w:rsidR="005F20B7" w:rsidRPr="00E12436">
        <w:rPr>
          <w:rFonts w:ascii="Calibri" w:hAnsi="Calibri" w:cs="Calibri"/>
        </w:rPr>
        <w:t xml:space="preserve"> </w:t>
      </w:r>
      <w:proofErr w:type="gramStart"/>
      <w:r w:rsidR="004E47F8" w:rsidRPr="00E12436">
        <w:rPr>
          <w:rFonts w:ascii="Calibri" w:hAnsi="Calibri" w:cs="Calibri"/>
        </w:rPr>
        <w:t>under</w:t>
      </w:r>
      <w:proofErr w:type="gramEnd"/>
      <w:r w:rsidR="004E47F8" w:rsidRPr="00E12436">
        <w:rPr>
          <w:rFonts w:ascii="Calibri" w:hAnsi="Calibri" w:cs="Calibri"/>
        </w:rPr>
        <w:t xml:space="preserve"> four groups, </w:t>
      </w:r>
      <w:r w:rsidR="005F20B7" w:rsidRPr="00E12436">
        <w:rPr>
          <w:rFonts w:ascii="Calibri" w:hAnsi="Calibri" w:cs="Calibri"/>
        </w:rPr>
        <w:t>the published materials referred to by the judicial authorities in ordering and extending the applicants’ pre-trial detention</w:t>
      </w:r>
      <w:r w:rsidR="00FC3252" w:rsidRPr="00E12436">
        <w:rPr>
          <w:rFonts w:ascii="Calibri" w:hAnsi="Calibri" w:cs="Calibri"/>
        </w:rPr>
        <w:t xml:space="preserve">. </w:t>
      </w:r>
      <w:r w:rsidR="00CD1C10" w:rsidRPr="00E12436">
        <w:rPr>
          <w:rFonts w:ascii="Calibri" w:hAnsi="Calibri" w:cs="Calibri"/>
        </w:rPr>
        <w:t xml:space="preserve">It </w:t>
      </w:r>
      <w:r w:rsidR="007A1201" w:rsidRPr="00E12436">
        <w:rPr>
          <w:rFonts w:ascii="Calibri" w:hAnsi="Calibri" w:cs="Calibri"/>
        </w:rPr>
        <w:t>held</w:t>
      </w:r>
      <w:r w:rsidR="00CD1C10" w:rsidRPr="00E12436">
        <w:rPr>
          <w:rFonts w:ascii="Calibri" w:hAnsi="Calibri" w:cs="Calibri"/>
        </w:rPr>
        <w:t xml:space="preserve"> that the articles and messages cited as grounds for the suspicion against the applicants</w:t>
      </w:r>
      <w:r w:rsidR="00390ADB" w:rsidRPr="00E12436">
        <w:rPr>
          <w:rFonts w:ascii="Calibri" w:hAnsi="Calibri" w:cs="Calibri"/>
        </w:rPr>
        <w:t>:</w:t>
      </w:r>
      <w:r w:rsidR="001502A1" w:rsidRPr="00E12436">
        <w:rPr>
          <w:rFonts w:ascii="Calibri" w:hAnsi="Calibri" w:cs="Calibri"/>
        </w:rPr>
        <w:t xml:space="preserve"> (</w:t>
      </w:r>
      <w:proofErr w:type="spellStart"/>
      <w:r w:rsidR="001502A1" w:rsidRPr="00E12436">
        <w:rPr>
          <w:rFonts w:ascii="Calibri" w:hAnsi="Calibri" w:cs="Calibri"/>
        </w:rPr>
        <w:t>i</w:t>
      </w:r>
      <w:proofErr w:type="spellEnd"/>
      <w:r w:rsidR="001502A1" w:rsidRPr="00E12436">
        <w:rPr>
          <w:rFonts w:ascii="Calibri" w:hAnsi="Calibri" w:cs="Calibri"/>
        </w:rPr>
        <w:t>) constituted contributions by the journalists of </w:t>
      </w:r>
      <w:proofErr w:type="spellStart"/>
      <w:r w:rsidR="001502A1" w:rsidRPr="00E12436">
        <w:rPr>
          <w:rFonts w:ascii="Calibri" w:hAnsi="Calibri" w:cs="Calibri"/>
          <w:i/>
          <w:iCs/>
        </w:rPr>
        <w:t>Cumhuriyet</w:t>
      </w:r>
      <w:proofErr w:type="spellEnd"/>
      <w:r w:rsidR="001502A1" w:rsidRPr="00E12436">
        <w:rPr>
          <w:rFonts w:ascii="Calibri" w:hAnsi="Calibri" w:cs="Calibri"/>
          <w:i/>
          <w:iCs/>
        </w:rPr>
        <w:t> </w:t>
      </w:r>
      <w:r w:rsidR="001502A1" w:rsidRPr="00E12436">
        <w:rPr>
          <w:rFonts w:ascii="Calibri" w:hAnsi="Calibri" w:cs="Calibri"/>
        </w:rPr>
        <w:t>to various public debates on matters of general interes</w:t>
      </w:r>
      <w:r w:rsidR="007A6C1D" w:rsidRPr="00E12436">
        <w:rPr>
          <w:rFonts w:ascii="Calibri" w:hAnsi="Calibri" w:cs="Calibri"/>
        </w:rPr>
        <w:t>ts</w:t>
      </w:r>
      <w:r w:rsidR="00390ADB" w:rsidRPr="00E12436">
        <w:rPr>
          <w:rFonts w:ascii="Calibri" w:hAnsi="Calibri" w:cs="Calibri"/>
        </w:rPr>
        <w:t>;</w:t>
      </w:r>
      <w:r w:rsidR="007A6C1D" w:rsidRPr="00E12436">
        <w:rPr>
          <w:rFonts w:ascii="Calibri" w:hAnsi="Calibri" w:cs="Calibri"/>
        </w:rPr>
        <w:t xml:space="preserve"> (ii) </w:t>
      </w:r>
      <w:r w:rsidR="00D75D05" w:rsidRPr="00E12436">
        <w:rPr>
          <w:rFonts w:ascii="Calibri" w:hAnsi="Calibri" w:cs="Calibri"/>
        </w:rPr>
        <w:t>did not contain any incitement to commit terrorist offences, did not condone the use of violence and did not encourage insurrection against the legitimate authorities</w:t>
      </w:r>
      <w:r w:rsidR="00390ADB" w:rsidRPr="00E12436">
        <w:rPr>
          <w:rFonts w:ascii="Calibri" w:hAnsi="Calibri" w:cs="Calibri"/>
        </w:rPr>
        <w:t xml:space="preserve">; (iii) </w:t>
      </w:r>
      <w:r w:rsidR="002E2586" w:rsidRPr="00E12436">
        <w:rPr>
          <w:rFonts w:ascii="Calibri" w:hAnsi="Calibri" w:cs="Calibri"/>
        </w:rPr>
        <w:t>the stance taken by the articles and messages in question was broadly one of opposition to the policies of the government of the day</w:t>
      </w:r>
      <w:r w:rsidR="00C84A69" w:rsidRPr="00E12436">
        <w:rPr>
          <w:rFonts w:ascii="Calibri" w:hAnsi="Calibri" w:cs="Calibri"/>
        </w:rPr>
        <w:t xml:space="preserve">. </w:t>
      </w:r>
      <w:r w:rsidR="007A1201" w:rsidRPr="00E12436">
        <w:rPr>
          <w:rFonts w:ascii="Calibri" w:hAnsi="Calibri" w:cs="Calibri"/>
        </w:rPr>
        <w:t>Therefore, it</w:t>
      </w:r>
      <w:r w:rsidR="000B243F" w:rsidRPr="00E12436">
        <w:rPr>
          <w:rFonts w:ascii="Calibri" w:hAnsi="Calibri" w:cs="Calibri"/>
        </w:rPr>
        <w:t xml:space="preserve"> concluded that </w:t>
      </w:r>
      <w:r w:rsidR="006A2563" w:rsidRPr="00E12436">
        <w:rPr>
          <w:rFonts w:ascii="Calibri" w:hAnsi="Calibri" w:cs="Calibri"/>
        </w:rPr>
        <w:t xml:space="preserve">the applicants’ acts </w:t>
      </w:r>
      <w:r w:rsidR="00FE79AE" w:rsidRPr="00E12436">
        <w:rPr>
          <w:rFonts w:ascii="Calibri" w:hAnsi="Calibri" w:cs="Calibri"/>
        </w:rPr>
        <w:t>fell within the exercise of their freedom of expression and freedom of press</w:t>
      </w:r>
      <w:r w:rsidR="00506E58" w:rsidRPr="00E12436">
        <w:rPr>
          <w:rFonts w:ascii="Calibri" w:hAnsi="Calibri" w:cs="Calibri"/>
        </w:rPr>
        <w:t>, as guaranteed by domestic law and the Convention</w:t>
      </w:r>
      <w:r w:rsidR="00256680" w:rsidRPr="00E12436">
        <w:rPr>
          <w:rFonts w:ascii="Calibri" w:hAnsi="Calibri" w:cs="Calibri"/>
        </w:rPr>
        <w:t>.</w:t>
      </w:r>
    </w:p>
    <w:p w:rsidR="00911CEA" w:rsidRPr="00E12436" w:rsidRDefault="00911CEA" w:rsidP="00A756C1">
      <w:pPr>
        <w:autoSpaceDE w:val="0"/>
        <w:autoSpaceDN w:val="0"/>
        <w:adjustRightInd w:val="0"/>
        <w:spacing w:after="0" w:line="240" w:lineRule="auto"/>
        <w:jc w:val="both"/>
        <w:rPr>
          <w:rFonts w:ascii="Calibri" w:hAnsi="Calibri" w:cs="Calibri"/>
        </w:rPr>
      </w:pPr>
    </w:p>
    <w:p w:rsidR="00911CEA" w:rsidRPr="00E12436" w:rsidRDefault="00CF2652" w:rsidP="00911CEA">
      <w:pPr>
        <w:autoSpaceDE w:val="0"/>
        <w:autoSpaceDN w:val="0"/>
        <w:adjustRightInd w:val="0"/>
        <w:spacing w:after="0" w:line="240" w:lineRule="auto"/>
        <w:jc w:val="both"/>
        <w:rPr>
          <w:rFonts w:ascii="Calibri" w:hAnsi="Calibri" w:cs="Calibri"/>
        </w:rPr>
      </w:pPr>
      <w:r w:rsidRPr="00E12436">
        <w:rPr>
          <w:rFonts w:ascii="Calibri" w:hAnsi="Calibri" w:cs="Calibri"/>
        </w:rPr>
        <w:t>W</w:t>
      </w:r>
      <w:r w:rsidR="00911CEA" w:rsidRPr="00E12436">
        <w:rPr>
          <w:rFonts w:ascii="Calibri" w:hAnsi="Calibri" w:cs="Calibri"/>
        </w:rPr>
        <w:t xml:space="preserve">ith regard to Article 15 of the Convention (derogation in time of emergency), the Court noted that no derogating measure had been applicable to </w:t>
      </w:r>
      <w:r w:rsidR="00AA4B23" w:rsidRPr="00E12436">
        <w:rPr>
          <w:rFonts w:ascii="Calibri" w:hAnsi="Calibri" w:cs="Calibri"/>
        </w:rPr>
        <w:t>the applicants’</w:t>
      </w:r>
      <w:r w:rsidR="00911CEA" w:rsidRPr="00E12436">
        <w:rPr>
          <w:rFonts w:ascii="Calibri" w:hAnsi="Calibri" w:cs="Calibri"/>
        </w:rPr>
        <w:t xml:space="preserve"> situation during the period of the state of emergency in Turkey. It then found that there had been a breach of Article 5 § 1 of the Convention.</w:t>
      </w:r>
    </w:p>
    <w:p w:rsidR="00BF2C9B" w:rsidRPr="00E12436" w:rsidRDefault="00BF2C9B" w:rsidP="00A756C1">
      <w:pPr>
        <w:autoSpaceDE w:val="0"/>
        <w:autoSpaceDN w:val="0"/>
        <w:adjustRightInd w:val="0"/>
        <w:spacing w:after="0" w:line="240" w:lineRule="auto"/>
        <w:jc w:val="both"/>
        <w:rPr>
          <w:rFonts w:ascii="Calibri" w:hAnsi="Calibri" w:cs="Calibri"/>
        </w:rPr>
      </w:pPr>
    </w:p>
    <w:p w:rsidR="00BF2C9B" w:rsidRPr="00E12436" w:rsidRDefault="00BF2C9B" w:rsidP="00400769">
      <w:pPr>
        <w:autoSpaceDE w:val="0"/>
        <w:autoSpaceDN w:val="0"/>
        <w:adjustRightInd w:val="0"/>
        <w:spacing w:after="0"/>
        <w:jc w:val="both"/>
        <w:rPr>
          <w:rFonts w:ascii="Calibri" w:hAnsi="Calibri" w:cs="Calibri"/>
        </w:rPr>
      </w:pPr>
      <w:r w:rsidRPr="00E12436">
        <w:rPr>
          <w:rFonts w:ascii="Calibri" w:hAnsi="Calibri" w:cs="Calibri"/>
        </w:rPr>
        <w:t>Regarding</w:t>
      </w:r>
      <w:r w:rsidR="0024070A" w:rsidRPr="00E12436">
        <w:rPr>
          <w:rFonts w:ascii="Calibri" w:hAnsi="Calibri" w:cs="Calibri"/>
        </w:rPr>
        <w:t xml:space="preserve"> the </w:t>
      </w:r>
      <w:r w:rsidR="00F15749" w:rsidRPr="00E12436">
        <w:rPr>
          <w:rFonts w:ascii="Calibri" w:hAnsi="Calibri" w:cs="Calibri"/>
        </w:rPr>
        <w:t>length of the proceedings before the Constitutional Court</w:t>
      </w:r>
      <w:r w:rsidR="005B1F5B" w:rsidRPr="00E12436">
        <w:rPr>
          <w:rFonts w:ascii="Calibri" w:hAnsi="Calibri" w:cs="Calibri"/>
        </w:rPr>
        <w:t xml:space="preserve"> under </w:t>
      </w:r>
      <w:r w:rsidR="005B1F5B" w:rsidRPr="00E12436">
        <w:rPr>
          <w:rFonts w:ascii="Calibri" w:hAnsi="Calibri" w:cs="Calibri"/>
          <w:b/>
          <w:bCs/>
        </w:rPr>
        <w:t>Article 5 § 4</w:t>
      </w:r>
      <w:r w:rsidR="00F15749" w:rsidRPr="00E12436">
        <w:rPr>
          <w:rFonts w:ascii="Calibri" w:hAnsi="Calibri" w:cs="Calibri"/>
        </w:rPr>
        <w:t xml:space="preserve">, </w:t>
      </w:r>
      <w:r w:rsidR="00EC7880" w:rsidRPr="00E12436">
        <w:rPr>
          <w:rFonts w:ascii="Calibri" w:hAnsi="Calibri" w:cs="Calibri"/>
        </w:rPr>
        <w:t xml:space="preserve">the Court held that </w:t>
      </w:r>
      <w:r w:rsidR="008B5465" w:rsidRPr="00E12436">
        <w:rPr>
          <w:rFonts w:ascii="Calibri" w:hAnsi="Calibri" w:cs="Calibri"/>
        </w:rPr>
        <w:t xml:space="preserve">the review by the </w:t>
      </w:r>
      <w:r w:rsidR="00332D10" w:rsidRPr="00E12436">
        <w:rPr>
          <w:rFonts w:ascii="Calibri" w:hAnsi="Calibri" w:cs="Calibri"/>
        </w:rPr>
        <w:t xml:space="preserve">Constitutional Court could not be described as </w:t>
      </w:r>
      <w:r w:rsidR="004E47F8" w:rsidRPr="00E12436">
        <w:rPr>
          <w:rFonts w:ascii="Calibri" w:hAnsi="Calibri" w:cs="Calibri"/>
        </w:rPr>
        <w:t>‘</w:t>
      </w:r>
      <w:r w:rsidR="00332D10" w:rsidRPr="00E12436">
        <w:rPr>
          <w:rFonts w:ascii="Calibri" w:hAnsi="Calibri" w:cs="Calibri"/>
        </w:rPr>
        <w:t>speedy</w:t>
      </w:r>
      <w:r w:rsidR="004E47F8" w:rsidRPr="00E12436">
        <w:rPr>
          <w:rFonts w:ascii="Calibri" w:hAnsi="Calibri" w:cs="Calibri"/>
        </w:rPr>
        <w:t>’</w:t>
      </w:r>
      <w:r w:rsidR="00332D10" w:rsidRPr="00E12436">
        <w:rPr>
          <w:rFonts w:ascii="Calibri" w:hAnsi="Calibri" w:cs="Calibri"/>
        </w:rPr>
        <w:t xml:space="preserve"> in an ordinary context</w:t>
      </w:r>
      <w:r w:rsidR="00C25B50" w:rsidRPr="00E12436">
        <w:rPr>
          <w:rFonts w:ascii="Calibri" w:hAnsi="Calibri" w:cs="Calibri"/>
        </w:rPr>
        <w:t xml:space="preserve">. </w:t>
      </w:r>
      <w:r w:rsidR="00373F86" w:rsidRPr="00E12436">
        <w:rPr>
          <w:rFonts w:ascii="Calibri" w:hAnsi="Calibri" w:cs="Calibri"/>
        </w:rPr>
        <w:t>The Court noted</w:t>
      </w:r>
      <w:r w:rsidR="00400769" w:rsidRPr="00E12436">
        <w:rPr>
          <w:rFonts w:ascii="Calibri" w:hAnsi="Calibri" w:cs="Calibri"/>
        </w:rPr>
        <w:t xml:space="preserve"> that the periods of detention to be taken into consideration were 16 months in the case of </w:t>
      </w:r>
      <w:proofErr w:type="spellStart"/>
      <w:r w:rsidR="00400769" w:rsidRPr="00E12436">
        <w:rPr>
          <w:rFonts w:ascii="Calibri" w:hAnsi="Calibri" w:cs="Calibri"/>
        </w:rPr>
        <w:t>Akın</w:t>
      </w:r>
      <w:proofErr w:type="spellEnd"/>
      <w:r w:rsidR="00400769" w:rsidRPr="00E12436">
        <w:rPr>
          <w:rFonts w:ascii="Calibri" w:hAnsi="Calibri" w:cs="Calibri"/>
        </w:rPr>
        <w:t xml:space="preserve"> </w:t>
      </w:r>
      <w:proofErr w:type="spellStart"/>
      <w:r w:rsidR="00400769" w:rsidRPr="00E12436">
        <w:rPr>
          <w:rFonts w:ascii="Calibri" w:hAnsi="Calibri" w:cs="Calibri"/>
        </w:rPr>
        <w:t>Atalay</w:t>
      </w:r>
      <w:proofErr w:type="spellEnd"/>
      <w:r w:rsidR="00400769" w:rsidRPr="00E12436">
        <w:rPr>
          <w:rFonts w:ascii="Calibri" w:hAnsi="Calibri" w:cs="Calibri"/>
        </w:rPr>
        <w:t xml:space="preserve">, 14 months and 11 days in the case of </w:t>
      </w:r>
      <w:proofErr w:type="spellStart"/>
      <w:r w:rsidR="00400769" w:rsidRPr="00E12436">
        <w:rPr>
          <w:rFonts w:ascii="Calibri" w:hAnsi="Calibri" w:cs="Calibri"/>
        </w:rPr>
        <w:t>Mehmet</w:t>
      </w:r>
      <w:proofErr w:type="spellEnd"/>
      <w:r w:rsidR="00400769" w:rsidRPr="00E12436">
        <w:rPr>
          <w:rFonts w:ascii="Calibri" w:hAnsi="Calibri" w:cs="Calibri"/>
        </w:rPr>
        <w:t xml:space="preserve"> Murat </w:t>
      </w:r>
      <w:proofErr w:type="spellStart"/>
      <w:r w:rsidR="00400769" w:rsidRPr="00E12436">
        <w:rPr>
          <w:rFonts w:ascii="Calibri" w:hAnsi="Calibri" w:cs="Calibri"/>
        </w:rPr>
        <w:t>Sabuncu</w:t>
      </w:r>
      <w:proofErr w:type="spellEnd"/>
      <w:r w:rsidR="00400769" w:rsidRPr="00E12436">
        <w:rPr>
          <w:rFonts w:ascii="Calibri" w:hAnsi="Calibri" w:cs="Calibri"/>
        </w:rPr>
        <w:t xml:space="preserve">, eight months and 29 days in the case of </w:t>
      </w:r>
      <w:proofErr w:type="spellStart"/>
      <w:r w:rsidR="00400769" w:rsidRPr="00E12436">
        <w:rPr>
          <w:rFonts w:ascii="Calibri" w:hAnsi="Calibri" w:cs="Calibri"/>
        </w:rPr>
        <w:t>Ahmet</w:t>
      </w:r>
      <w:proofErr w:type="spellEnd"/>
      <w:r w:rsidR="00400769" w:rsidRPr="00E12436">
        <w:rPr>
          <w:rFonts w:ascii="Calibri" w:hAnsi="Calibri" w:cs="Calibri"/>
        </w:rPr>
        <w:t xml:space="preserve"> </w:t>
      </w:r>
      <w:proofErr w:type="spellStart"/>
      <w:r w:rsidR="00400769" w:rsidRPr="00E12436">
        <w:rPr>
          <w:rFonts w:ascii="Calibri" w:hAnsi="Calibri" w:cs="Calibri"/>
        </w:rPr>
        <w:t>Kadri</w:t>
      </w:r>
      <w:proofErr w:type="spellEnd"/>
      <w:r w:rsidR="00400769" w:rsidRPr="00E12436">
        <w:rPr>
          <w:rFonts w:ascii="Calibri" w:hAnsi="Calibri" w:cs="Calibri"/>
        </w:rPr>
        <w:t xml:space="preserve"> </w:t>
      </w:r>
      <w:proofErr w:type="spellStart"/>
      <w:r w:rsidR="00400769" w:rsidRPr="00E12436">
        <w:rPr>
          <w:rFonts w:ascii="Calibri" w:hAnsi="Calibri" w:cs="Calibri"/>
        </w:rPr>
        <w:t>Gürsel</w:t>
      </w:r>
      <w:proofErr w:type="spellEnd"/>
      <w:r w:rsidR="00400769" w:rsidRPr="00E12436">
        <w:rPr>
          <w:rFonts w:ascii="Calibri" w:hAnsi="Calibri" w:cs="Calibri"/>
        </w:rPr>
        <w:t>, and seven months and two days in the case of the remaining applicants</w:t>
      </w:r>
      <w:r w:rsidR="004E47F8" w:rsidRPr="00E12436">
        <w:rPr>
          <w:rFonts w:ascii="Calibri" w:hAnsi="Calibri" w:cs="Calibri"/>
        </w:rPr>
        <w:t>.</w:t>
      </w:r>
      <w:r w:rsidR="00400769" w:rsidRPr="00E12436">
        <w:rPr>
          <w:rFonts w:ascii="Calibri" w:hAnsi="Calibri" w:cs="Calibri"/>
        </w:rPr>
        <w:t xml:space="preserve"> </w:t>
      </w:r>
      <w:r w:rsidR="00C25B50" w:rsidRPr="00E12436">
        <w:rPr>
          <w:rFonts w:ascii="Calibri" w:hAnsi="Calibri" w:cs="Calibri"/>
        </w:rPr>
        <w:t xml:space="preserve">However, </w:t>
      </w:r>
      <w:r w:rsidR="00113FCD" w:rsidRPr="00E12436">
        <w:rPr>
          <w:rFonts w:ascii="Calibri" w:hAnsi="Calibri" w:cs="Calibri"/>
        </w:rPr>
        <w:t>th</w:t>
      </w:r>
      <w:r w:rsidR="00600F0F" w:rsidRPr="00E12436">
        <w:rPr>
          <w:rFonts w:ascii="Calibri" w:hAnsi="Calibri" w:cs="Calibri"/>
        </w:rPr>
        <w:t xml:space="preserve">e Court, taking into consideration </w:t>
      </w:r>
      <w:r w:rsidR="00C25B50" w:rsidRPr="00E12436">
        <w:rPr>
          <w:rFonts w:ascii="Calibri" w:hAnsi="Calibri" w:cs="Calibri"/>
        </w:rPr>
        <w:t xml:space="preserve">the exceptional caseload </w:t>
      </w:r>
      <w:r w:rsidR="005D7877" w:rsidRPr="00E12436">
        <w:rPr>
          <w:rFonts w:ascii="Calibri" w:hAnsi="Calibri" w:cs="Calibri"/>
        </w:rPr>
        <w:t>of the Constitutional Court during the state of emergency in force from July 2016 to July 2018</w:t>
      </w:r>
      <w:r w:rsidR="00F1244F" w:rsidRPr="00E12436">
        <w:rPr>
          <w:rFonts w:ascii="Calibri" w:hAnsi="Calibri" w:cs="Calibri"/>
        </w:rPr>
        <w:t xml:space="preserve">, </w:t>
      </w:r>
      <w:r w:rsidR="00783CAC" w:rsidRPr="00E12436">
        <w:rPr>
          <w:rFonts w:ascii="Calibri" w:hAnsi="Calibri" w:cs="Calibri"/>
        </w:rPr>
        <w:t>the complexity of the case</w:t>
      </w:r>
      <w:r w:rsidR="004E47F8" w:rsidRPr="00E12436">
        <w:rPr>
          <w:rFonts w:ascii="Calibri" w:hAnsi="Calibri" w:cs="Calibri"/>
        </w:rPr>
        <w:t>,</w:t>
      </w:r>
      <w:r w:rsidR="00783CAC" w:rsidRPr="00E12436">
        <w:rPr>
          <w:rFonts w:ascii="Calibri" w:hAnsi="Calibri" w:cs="Calibri"/>
        </w:rPr>
        <w:t xml:space="preserve"> </w:t>
      </w:r>
      <w:r w:rsidR="00F1244F" w:rsidRPr="00E12436">
        <w:rPr>
          <w:rFonts w:ascii="Calibri" w:hAnsi="Calibri" w:cs="Calibri"/>
        </w:rPr>
        <w:t>and the fact that the applicant</w:t>
      </w:r>
      <w:r w:rsidR="00644953" w:rsidRPr="00E12436">
        <w:rPr>
          <w:rFonts w:ascii="Calibri" w:hAnsi="Calibri" w:cs="Calibri"/>
        </w:rPr>
        <w:t>s’</w:t>
      </w:r>
      <w:r w:rsidR="007F75E4" w:rsidRPr="00E12436">
        <w:rPr>
          <w:rFonts w:ascii="Calibri" w:hAnsi="Calibri" w:cs="Calibri"/>
        </w:rPr>
        <w:t xml:space="preserve"> </w:t>
      </w:r>
      <w:r w:rsidR="00644953" w:rsidRPr="00E12436">
        <w:rPr>
          <w:rFonts w:ascii="Calibri" w:hAnsi="Calibri" w:cs="Calibri"/>
        </w:rPr>
        <w:t>pre-trial detention periods had all fallen within the state of emergency</w:t>
      </w:r>
      <w:r w:rsidR="00454A36" w:rsidRPr="00E12436">
        <w:rPr>
          <w:rFonts w:ascii="Calibri" w:hAnsi="Calibri" w:cs="Calibri"/>
        </w:rPr>
        <w:t xml:space="preserve">, found that </w:t>
      </w:r>
      <w:r w:rsidR="007B3894" w:rsidRPr="00E12436">
        <w:rPr>
          <w:rFonts w:ascii="Calibri" w:hAnsi="Calibri" w:cs="Calibri"/>
        </w:rPr>
        <w:t xml:space="preserve">there had been no violation of </w:t>
      </w:r>
      <w:r w:rsidR="007B3894" w:rsidRPr="00E12436">
        <w:rPr>
          <w:rFonts w:ascii="Calibri" w:hAnsi="Calibri" w:cs="Calibri"/>
          <w:b/>
          <w:bCs/>
        </w:rPr>
        <w:t xml:space="preserve">Article 5 § 4 </w:t>
      </w:r>
      <w:r w:rsidR="007B3894" w:rsidRPr="00E12436">
        <w:rPr>
          <w:rFonts w:ascii="Calibri" w:hAnsi="Calibri" w:cs="Calibri"/>
        </w:rPr>
        <w:t xml:space="preserve">of the </w:t>
      </w:r>
      <w:r w:rsidR="00A77204" w:rsidRPr="00E12436">
        <w:rPr>
          <w:rFonts w:ascii="Calibri" w:hAnsi="Calibri" w:cs="Calibri"/>
        </w:rPr>
        <w:t xml:space="preserve">Convention. It should be also noted that the </w:t>
      </w:r>
      <w:r w:rsidR="00FF3A3B" w:rsidRPr="00E12436">
        <w:rPr>
          <w:rFonts w:ascii="Calibri" w:hAnsi="Calibri" w:cs="Calibri"/>
        </w:rPr>
        <w:t xml:space="preserve">Court stressed the distinction to be made between the present case and the case of </w:t>
      </w:r>
      <w:proofErr w:type="spellStart"/>
      <w:r w:rsidR="00FF3A3B" w:rsidRPr="00E12436">
        <w:rPr>
          <w:rFonts w:ascii="Calibri" w:hAnsi="Calibri" w:cs="Calibri"/>
          <w:i/>
          <w:iCs/>
        </w:rPr>
        <w:t>Kavala</w:t>
      </w:r>
      <w:proofErr w:type="spellEnd"/>
      <w:r w:rsidR="00FF3A3B" w:rsidRPr="00E12436">
        <w:rPr>
          <w:rFonts w:ascii="Calibri" w:hAnsi="Calibri" w:cs="Calibri"/>
          <w:i/>
          <w:iCs/>
        </w:rPr>
        <w:t xml:space="preserve"> v.</w:t>
      </w:r>
      <w:r w:rsidR="00A77204" w:rsidRPr="00E12436">
        <w:rPr>
          <w:rFonts w:ascii="Calibri" w:hAnsi="Calibri" w:cs="Calibri"/>
        </w:rPr>
        <w:t xml:space="preserve"> </w:t>
      </w:r>
      <w:r w:rsidR="00FF3A3B" w:rsidRPr="00E12436">
        <w:rPr>
          <w:rFonts w:ascii="Calibri" w:hAnsi="Calibri" w:cs="Calibri"/>
          <w:i/>
          <w:iCs/>
        </w:rPr>
        <w:t xml:space="preserve">Turkey </w:t>
      </w:r>
      <w:r w:rsidR="00FF3A3B" w:rsidRPr="00E12436">
        <w:rPr>
          <w:rFonts w:ascii="Calibri" w:hAnsi="Calibri" w:cs="Calibri"/>
        </w:rPr>
        <w:t>in which the applicant had remained in pre-trial detention for the eleven months elapsing</w:t>
      </w:r>
      <w:r w:rsidR="00A77204" w:rsidRPr="00E12436">
        <w:rPr>
          <w:rFonts w:ascii="Calibri" w:hAnsi="Calibri" w:cs="Calibri"/>
        </w:rPr>
        <w:t xml:space="preserve"> </w:t>
      </w:r>
      <w:r w:rsidR="00FF3A3B" w:rsidRPr="00E12436">
        <w:rPr>
          <w:rFonts w:ascii="Calibri" w:hAnsi="Calibri" w:cs="Calibri"/>
        </w:rPr>
        <w:t>between the lifting of the state of emergency on 18 July 2018 and the delivery of the Constitutional</w:t>
      </w:r>
      <w:r w:rsidR="007A7CD4" w:rsidRPr="00E12436">
        <w:rPr>
          <w:rFonts w:ascii="Calibri" w:hAnsi="Calibri" w:cs="Calibri"/>
        </w:rPr>
        <w:t xml:space="preserve"> </w:t>
      </w:r>
      <w:r w:rsidR="00FF3A3B" w:rsidRPr="00E12436">
        <w:rPr>
          <w:rFonts w:ascii="Calibri" w:hAnsi="Calibri" w:cs="Calibri"/>
        </w:rPr>
        <w:t>Court’s judgment on 28 June 2019.</w:t>
      </w:r>
    </w:p>
    <w:p w:rsidR="007B3894" w:rsidRPr="00E12436" w:rsidRDefault="007B3894" w:rsidP="005D7877">
      <w:pPr>
        <w:autoSpaceDE w:val="0"/>
        <w:autoSpaceDN w:val="0"/>
        <w:adjustRightInd w:val="0"/>
        <w:spacing w:after="0" w:line="240" w:lineRule="auto"/>
        <w:jc w:val="both"/>
        <w:rPr>
          <w:rFonts w:ascii="Calibri" w:hAnsi="Calibri" w:cs="Calibri"/>
        </w:rPr>
      </w:pPr>
    </w:p>
    <w:p w:rsidR="000A3439" w:rsidRPr="00E12436" w:rsidRDefault="007E3A23" w:rsidP="00A06E90">
      <w:pPr>
        <w:autoSpaceDE w:val="0"/>
        <w:autoSpaceDN w:val="0"/>
        <w:adjustRightInd w:val="0"/>
        <w:spacing w:after="0" w:line="240" w:lineRule="auto"/>
        <w:jc w:val="both"/>
        <w:rPr>
          <w:rFonts w:ascii="Calibri" w:hAnsi="Calibri" w:cs="Calibri"/>
        </w:rPr>
      </w:pPr>
      <w:r w:rsidRPr="00E12436">
        <w:rPr>
          <w:rFonts w:ascii="Calibri" w:hAnsi="Calibri" w:cs="Calibri"/>
        </w:rPr>
        <w:t xml:space="preserve">As regards the complaint under </w:t>
      </w:r>
      <w:r w:rsidRPr="00E12436">
        <w:rPr>
          <w:rFonts w:ascii="Calibri" w:hAnsi="Calibri" w:cs="Calibri"/>
          <w:b/>
          <w:bCs/>
        </w:rPr>
        <w:t>Article 10</w:t>
      </w:r>
      <w:r w:rsidRPr="00E12436">
        <w:rPr>
          <w:rFonts w:ascii="Calibri" w:hAnsi="Calibri" w:cs="Calibri"/>
        </w:rPr>
        <w:t>, the Court</w:t>
      </w:r>
      <w:r w:rsidR="00B56B80" w:rsidRPr="00E12436">
        <w:rPr>
          <w:rFonts w:ascii="Calibri" w:hAnsi="Calibri" w:cs="Calibri"/>
        </w:rPr>
        <w:t xml:space="preserve">, </w:t>
      </w:r>
      <w:r w:rsidR="00B026BF" w:rsidRPr="00E12436">
        <w:rPr>
          <w:rFonts w:ascii="Calibri" w:hAnsi="Calibri" w:cs="Calibri"/>
        </w:rPr>
        <w:t xml:space="preserve">reiterated that </w:t>
      </w:r>
      <w:r w:rsidR="00206CCD" w:rsidRPr="00E12436">
        <w:rPr>
          <w:rFonts w:ascii="Calibri" w:hAnsi="Calibri" w:cs="Calibri"/>
        </w:rPr>
        <w:t>‘</w:t>
      </w:r>
      <w:r w:rsidR="00F90D47" w:rsidRPr="00E12436">
        <w:rPr>
          <w:rFonts w:ascii="Calibri" w:hAnsi="Calibri" w:cs="Calibri"/>
        </w:rPr>
        <w:t xml:space="preserve">certain circumstances which have a chilling effect on </w:t>
      </w:r>
      <w:r w:rsidR="005B71A6" w:rsidRPr="00E12436">
        <w:rPr>
          <w:rFonts w:ascii="Calibri" w:hAnsi="Calibri" w:cs="Calibri"/>
        </w:rPr>
        <w:t xml:space="preserve">freedom of expression </w:t>
      </w:r>
      <w:r w:rsidR="00417D49" w:rsidRPr="00E12436">
        <w:rPr>
          <w:rFonts w:ascii="Calibri" w:hAnsi="Calibri" w:cs="Calibri"/>
        </w:rPr>
        <w:t xml:space="preserve">do in fact </w:t>
      </w:r>
      <w:r w:rsidR="005B71A6" w:rsidRPr="00E12436">
        <w:rPr>
          <w:rFonts w:ascii="Calibri" w:hAnsi="Calibri" w:cs="Calibri"/>
        </w:rPr>
        <w:t>confer</w:t>
      </w:r>
      <w:r w:rsidR="003F7C39" w:rsidRPr="00E12436">
        <w:rPr>
          <w:rFonts w:ascii="Calibri" w:hAnsi="Calibri" w:cs="Calibri"/>
        </w:rPr>
        <w:t xml:space="preserve"> </w:t>
      </w:r>
      <w:r w:rsidR="005B71A6" w:rsidRPr="00E12436">
        <w:rPr>
          <w:rFonts w:ascii="Calibri" w:hAnsi="Calibri" w:cs="Calibri"/>
        </w:rPr>
        <w:t>on</w:t>
      </w:r>
      <w:r w:rsidR="00417D49" w:rsidRPr="00E12436">
        <w:rPr>
          <w:rFonts w:ascii="Calibri" w:hAnsi="Calibri" w:cs="Calibri"/>
        </w:rPr>
        <w:t xml:space="preserve"> those concerned </w:t>
      </w:r>
      <w:r w:rsidR="005A31DA" w:rsidRPr="00E12436">
        <w:rPr>
          <w:rFonts w:ascii="Calibri" w:hAnsi="Calibri" w:cs="Calibri"/>
        </w:rPr>
        <w:t>-</w:t>
      </w:r>
      <w:r w:rsidR="003F7C39" w:rsidRPr="00E12436">
        <w:rPr>
          <w:rFonts w:ascii="Calibri" w:hAnsi="Calibri" w:cs="Calibri"/>
        </w:rPr>
        <w:t xml:space="preserve"> persons who </w:t>
      </w:r>
      <w:r w:rsidR="00917017" w:rsidRPr="00E12436">
        <w:rPr>
          <w:rFonts w:ascii="Calibri" w:hAnsi="Calibri" w:cs="Calibri"/>
        </w:rPr>
        <w:t xml:space="preserve">have not </w:t>
      </w:r>
      <w:r w:rsidR="00CF2652" w:rsidRPr="00E12436">
        <w:rPr>
          <w:rFonts w:ascii="Calibri" w:hAnsi="Calibri" w:cs="Calibri"/>
        </w:rPr>
        <w:t xml:space="preserve">been </w:t>
      </w:r>
      <w:r w:rsidR="00917017" w:rsidRPr="00E12436">
        <w:rPr>
          <w:rFonts w:ascii="Calibri" w:hAnsi="Calibri" w:cs="Calibri"/>
        </w:rPr>
        <w:t>finally convicted</w:t>
      </w:r>
      <w:r w:rsidR="00417D49" w:rsidRPr="00E12436">
        <w:rPr>
          <w:rFonts w:ascii="Calibri" w:hAnsi="Calibri" w:cs="Calibri"/>
        </w:rPr>
        <w:t xml:space="preserve"> -</w:t>
      </w:r>
      <w:r w:rsidR="00B85384" w:rsidRPr="00E12436">
        <w:rPr>
          <w:rFonts w:ascii="Calibri" w:hAnsi="Calibri" w:cs="Calibri"/>
        </w:rPr>
        <w:t xml:space="preserve"> the status </w:t>
      </w:r>
      <w:r w:rsidR="002C3BB9" w:rsidRPr="00E12436">
        <w:rPr>
          <w:rFonts w:ascii="Calibri" w:hAnsi="Calibri" w:cs="Calibri"/>
        </w:rPr>
        <w:t>of victim of interference in the exercise of their right to that freedom</w:t>
      </w:r>
      <w:r w:rsidR="00206CCD" w:rsidRPr="00E12436">
        <w:rPr>
          <w:rFonts w:ascii="Calibri" w:hAnsi="Calibri" w:cs="Calibri"/>
        </w:rPr>
        <w:t>’</w:t>
      </w:r>
      <w:r w:rsidR="002C3BB9" w:rsidRPr="00E12436">
        <w:rPr>
          <w:rFonts w:ascii="Calibri" w:hAnsi="Calibri" w:cs="Calibri"/>
        </w:rPr>
        <w:t xml:space="preserve">. </w:t>
      </w:r>
      <w:proofErr w:type="gramStart"/>
      <w:r w:rsidR="009D0464" w:rsidRPr="00E12436">
        <w:rPr>
          <w:rFonts w:ascii="Calibri" w:hAnsi="Calibri" w:cs="Calibri"/>
        </w:rPr>
        <w:t xml:space="preserve">In </w:t>
      </w:r>
      <w:r w:rsidR="001C605D" w:rsidRPr="00E12436">
        <w:rPr>
          <w:rFonts w:ascii="Calibri" w:hAnsi="Calibri" w:cs="Calibri"/>
        </w:rPr>
        <w:t>that</w:t>
      </w:r>
      <w:r w:rsidR="00A007F2" w:rsidRPr="00E12436">
        <w:rPr>
          <w:rFonts w:ascii="Calibri" w:hAnsi="Calibri" w:cs="Calibri"/>
        </w:rPr>
        <w:t xml:space="preserve"> connection the Court stressed that it had made the same finding </w:t>
      </w:r>
      <w:r w:rsidR="00601790" w:rsidRPr="00E12436">
        <w:rPr>
          <w:rFonts w:ascii="Calibri" w:hAnsi="Calibri" w:cs="Calibri"/>
        </w:rPr>
        <w:t xml:space="preserve">in relation to the detention of investigative journalists </w:t>
      </w:r>
      <w:r w:rsidR="003A48C9" w:rsidRPr="00E12436">
        <w:rPr>
          <w:rFonts w:ascii="Calibri" w:hAnsi="Calibri" w:cs="Calibri"/>
        </w:rPr>
        <w:t xml:space="preserve">for almost a year under criminal proceedings brought for </w:t>
      </w:r>
      <w:r w:rsidR="003A48C9" w:rsidRPr="00E12436">
        <w:rPr>
          <w:rFonts w:ascii="Calibri" w:hAnsi="Calibri" w:cs="Calibri"/>
        </w:rPr>
        <w:lastRenderedPageBreak/>
        <w:t>very serious crimes</w:t>
      </w:r>
      <w:r w:rsidR="00245FBD" w:rsidRPr="00E12436">
        <w:rPr>
          <w:rFonts w:ascii="Calibri" w:hAnsi="Calibri" w:cs="Calibri"/>
        </w:rPr>
        <w:t xml:space="preserve"> </w:t>
      </w:r>
      <w:r w:rsidR="00D03F8C" w:rsidRPr="00E12436">
        <w:rPr>
          <w:rFonts w:ascii="Calibri" w:hAnsi="Calibri" w:cs="Calibri"/>
        </w:rPr>
        <w:t xml:space="preserve">in the cases of </w:t>
      </w:r>
      <w:proofErr w:type="spellStart"/>
      <w:r w:rsidR="006676DD" w:rsidRPr="00E12436">
        <w:rPr>
          <w:rFonts w:ascii="Calibri" w:hAnsi="Calibri" w:cs="Calibri"/>
          <w:i/>
          <w:iCs/>
        </w:rPr>
        <w:t>Şık</w:t>
      </w:r>
      <w:proofErr w:type="spellEnd"/>
      <w:r w:rsidR="006676DD" w:rsidRPr="00E12436">
        <w:rPr>
          <w:rFonts w:ascii="Calibri" w:hAnsi="Calibri" w:cs="Calibri"/>
          <w:i/>
          <w:iCs/>
        </w:rPr>
        <w:t xml:space="preserve"> v. Turkey</w:t>
      </w:r>
      <w:r w:rsidR="00CD6849" w:rsidRPr="00E12436">
        <w:rPr>
          <w:rStyle w:val="DipnotBavurusu"/>
          <w:rFonts w:ascii="Calibri" w:hAnsi="Calibri" w:cs="Calibri"/>
          <w:i/>
          <w:iCs/>
        </w:rPr>
        <w:footnoteReference w:id="5"/>
      </w:r>
      <w:r w:rsidR="006676DD" w:rsidRPr="00E12436">
        <w:rPr>
          <w:rFonts w:ascii="Calibri" w:hAnsi="Calibri" w:cs="Calibri"/>
        </w:rPr>
        <w:t xml:space="preserve"> and </w:t>
      </w:r>
      <w:proofErr w:type="spellStart"/>
      <w:r w:rsidR="006676DD" w:rsidRPr="00E12436">
        <w:rPr>
          <w:rFonts w:ascii="Calibri" w:hAnsi="Calibri" w:cs="Calibri"/>
          <w:i/>
          <w:iCs/>
        </w:rPr>
        <w:t>Nedim</w:t>
      </w:r>
      <w:proofErr w:type="spellEnd"/>
      <w:r w:rsidR="006676DD" w:rsidRPr="00E12436">
        <w:rPr>
          <w:rFonts w:ascii="Calibri" w:hAnsi="Calibri" w:cs="Calibri"/>
          <w:i/>
          <w:iCs/>
        </w:rPr>
        <w:t xml:space="preserve"> </w:t>
      </w:r>
      <w:proofErr w:type="spellStart"/>
      <w:r w:rsidR="006676DD" w:rsidRPr="00E12436">
        <w:rPr>
          <w:rFonts w:ascii="Calibri" w:hAnsi="Calibri" w:cs="Calibri"/>
          <w:i/>
          <w:iCs/>
        </w:rPr>
        <w:t>Şener</w:t>
      </w:r>
      <w:proofErr w:type="spellEnd"/>
      <w:r w:rsidR="006676DD" w:rsidRPr="00E12436">
        <w:rPr>
          <w:rFonts w:ascii="Calibri" w:hAnsi="Calibri" w:cs="Calibri"/>
          <w:i/>
          <w:iCs/>
        </w:rPr>
        <w:t xml:space="preserve"> v. Turkey</w:t>
      </w:r>
      <w:r w:rsidR="00571524" w:rsidRPr="00E12436">
        <w:rPr>
          <w:rStyle w:val="DipnotBavurusu"/>
          <w:rFonts w:ascii="Calibri" w:hAnsi="Calibri" w:cs="Calibri"/>
          <w:i/>
          <w:iCs/>
        </w:rPr>
        <w:footnoteReference w:id="6"/>
      </w:r>
      <w:r w:rsidR="003D4C6E" w:rsidRPr="00E12436">
        <w:rPr>
          <w:rFonts w:ascii="Calibri" w:hAnsi="Calibri" w:cs="Calibri"/>
        </w:rPr>
        <w:t>.</w:t>
      </w:r>
      <w:proofErr w:type="gramEnd"/>
      <w:r w:rsidR="003D4C6E" w:rsidRPr="00E12436">
        <w:rPr>
          <w:rFonts w:ascii="Calibri" w:hAnsi="Calibri" w:cs="Calibri"/>
        </w:rPr>
        <w:t xml:space="preserve"> Accordingly, the Court held</w:t>
      </w:r>
      <w:r w:rsidR="001137E5" w:rsidRPr="00E12436">
        <w:rPr>
          <w:rFonts w:ascii="Calibri" w:hAnsi="Calibri" w:cs="Calibri"/>
        </w:rPr>
        <w:t xml:space="preserve"> that the applicants’ pre-trial detention in the context of the criminal proceedings against them, for offences carrying</w:t>
      </w:r>
      <w:r w:rsidR="009E1439" w:rsidRPr="00E12436">
        <w:rPr>
          <w:rFonts w:ascii="Calibri" w:hAnsi="Calibri" w:cs="Calibri"/>
        </w:rPr>
        <w:t xml:space="preserve"> </w:t>
      </w:r>
      <w:r w:rsidR="001137E5" w:rsidRPr="00E12436">
        <w:rPr>
          <w:rFonts w:ascii="Calibri" w:hAnsi="Calibri" w:cs="Calibri"/>
        </w:rPr>
        <w:t>a</w:t>
      </w:r>
      <w:r w:rsidR="009E1439" w:rsidRPr="00E12436">
        <w:rPr>
          <w:rFonts w:ascii="Calibri" w:hAnsi="Calibri" w:cs="Calibri"/>
        </w:rPr>
        <w:t xml:space="preserve"> </w:t>
      </w:r>
      <w:r w:rsidR="001137E5" w:rsidRPr="00E12436">
        <w:rPr>
          <w:rFonts w:ascii="Calibri" w:hAnsi="Calibri" w:cs="Calibri"/>
        </w:rPr>
        <w:t xml:space="preserve">heavy penalty and directly linked to their work as journalists, </w:t>
      </w:r>
      <w:r w:rsidR="00CF7EF5" w:rsidRPr="00E12436">
        <w:rPr>
          <w:rFonts w:ascii="Calibri" w:hAnsi="Calibri" w:cs="Calibri"/>
        </w:rPr>
        <w:t xml:space="preserve">had </w:t>
      </w:r>
      <w:r w:rsidR="001137E5" w:rsidRPr="00E12436">
        <w:rPr>
          <w:rFonts w:ascii="Calibri" w:hAnsi="Calibri" w:cs="Calibri"/>
        </w:rPr>
        <w:t xml:space="preserve">amounted to an actual and effective constraint and thus </w:t>
      </w:r>
      <w:r w:rsidR="00A650AA" w:rsidRPr="00E12436">
        <w:rPr>
          <w:rFonts w:ascii="Calibri" w:hAnsi="Calibri" w:cs="Calibri"/>
        </w:rPr>
        <w:t xml:space="preserve">had </w:t>
      </w:r>
      <w:r w:rsidR="001137E5" w:rsidRPr="00E12436">
        <w:rPr>
          <w:rFonts w:ascii="Calibri" w:hAnsi="Calibri" w:cs="Calibri"/>
        </w:rPr>
        <w:t>constituted “interference” with the exercise by the applicants of their right to freedom of expression guaranteed by Article 10 of the Convention</w:t>
      </w:r>
      <w:r w:rsidR="00A650AA" w:rsidRPr="00E12436">
        <w:rPr>
          <w:rFonts w:ascii="Calibri" w:hAnsi="Calibri" w:cs="Calibri"/>
        </w:rPr>
        <w:t>.</w:t>
      </w:r>
      <w:r w:rsidR="008B48FD" w:rsidRPr="00E12436">
        <w:rPr>
          <w:rFonts w:ascii="Calibri" w:hAnsi="Calibri" w:cs="Calibri"/>
        </w:rPr>
        <w:t xml:space="preserve"> </w:t>
      </w:r>
      <w:r w:rsidR="00CF350B" w:rsidRPr="00E12436">
        <w:rPr>
          <w:rFonts w:ascii="Calibri" w:hAnsi="Calibri" w:cs="Calibri"/>
        </w:rPr>
        <w:t>The Court then examined whether t</w:t>
      </w:r>
      <w:r w:rsidR="00CB07E7" w:rsidRPr="00E12436">
        <w:rPr>
          <w:rFonts w:ascii="Calibri" w:hAnsi="Calibri" w:cs="Calibri"/>
        </w:rPr>
        <w:t xml:space="preserve">his interference was </w:t>
      </w:r>
      <w:r w:rsidR="00206CCD" w:rsidRPr="00E12436">
        <w:rPr>
          <w:rFonts w:ascii="Calibri" w:hAnsi="Calibri" w:cs="Calibri"/>
        </w:rPr>
        <w:t>‘</w:t>
      </w:r>
      <w:r w:rsidR="00CB07E7" w:rsidRPr="00E12436">
        <w:rPr>
          <w:rFonts w:ascii="Calibri" w:hAnsi="Calibri" w:cs="Calibri"/>
        </w:rPr>
        <w:t>prescribed by law</w:t>
      </w:r>
      <w:r w:rsidR="00206CCD" w:rsidRPr="00E12436">
        <w:rPr>
          <w:rFonts w:ascii="Calibri" w:hAnsi="Calibri" w:cs="Calibri"/>
        </w:rPr>
        <w:t>’</w:t>
      </w:r>
      <w:r w:rsidR="003B13DD" w:rsidRPr="00E12436">
        <w:rPr>
          <w:rFonts w:ascii="Calibri" w:hAnsi="Calibri" w:cs="Calibri"/>
        </w:rPr>
        <w:t xml:space="preserve">. In this regard, it first underlined that the applicants’ detention </w:t>
      </w:r>
      <w:r w:rsidR="00005611" w:rsidRPr="00E12436">
        <w:rPr>
          <w:rFonts w:ascii="Calibri" w:hAnsi="Calibri" w:cs="Calibri"/>
        </w:rPr>
        <w:t>had</w:t>
      </w:r>
      <w:r w:rsidR="003B13DD" w:rsidRPr="00E12436">
        <w:rPr>
          <w:rFonts w:ascii="Calibri" w:hAnsi="Calibri" w:cs="Calibri"/>
        </w:rPr>
        <w:t xml:space="preserve"> not </w:t>
      </w:r>
      <w:r w:rsidR="00005611" w:rsidRPr="00E12436">
        <w:rPr>
          <w:rFonts w:ascii="Calibri" w:hAnsi="Calibri" w:cs="Calibri"/>
        </w:rPr>
        <w:t xml:space="preserve">been </w:t>
      </w:r>
      <w:r w:rsidR="003B13DD" w:rsidRPr="00E12436">
        <w:rPr>
          <w:rFonts w:ascii="Calibri" w:hAnsi="Calibri" w:cs="Calibri"/>
        </w:rPr>
        <w:t>based on reasonable suspicion</w:t>
      </w:r>
      <w:r w:rsidR="00206CCD" w:rsidRPr="00E12436">
        <w:rPr>
          <w:rFonts w:ascii="Calibri" w:hAnsi="Calibri" w:cs="Calibri"/>
        </w:rPr>
        <w:t>,</w:t>
      </w:r>
      <w:r w:rsidR="003B13DD" w:rsidRPr="00E12436">
        <w:rPr>
          <w:rFonts w:ascii="Calibri" w:hAnsi="Calibri" w:cs="Calibri"/>
        </w:rPr>
        <w:t xml:space="preserve"> </w:t>
      </w:r>
      <w:r w:rsidR="00005611" w:rsidRPr="00E12436">
        <w:rPr>
          <w:rFonts w:ascii="Calibri" w:hAnsi="Calibri" w:cs="Calibri"/>
        </w:rPr>
        <w:t xml:space="preserve">that they had committed an offence </w:t>
      </w:r>
      <w:r w:rsidR="003C37D4" w:rsidRPr="00E12436">
        <w:rPr>
          <w:rFonts w:ascii="Calibri" w:hAnsi="Calibri" w:cs="Calibri"/>
        </w:rPr>
        <w:t>for the purposes of Article 5 § 1 (c) of the Convention, and that there ha</w:t>
      </w:r>
      <w:r w:rsidR="00FF621C" w:rsidRPr="00E12436">
        <w:rPr>
          <w:rFonts w:ascii="Calibri" w:hAnsi="Calibri" w:cs="Calibri"/>
        </w:rPr>
        <w:t>d</w:t>
      </w:r>
      <w:r w:rsidR="003C37D4" w:rsidRPr="00E12436">
        <w:rPr>
          <w:rFonts w:ascii="Calibri" w:hAnsi="Calibri" w:cs="Calibri"/>
        </w:rPr>
        <w:t xml:space="preserve"> therefore been</w:t>
      </w:r>
      <w:r w:rsidR="001D39A3" w:rsidRPr="00E12436">
        <w:rPr>
          <w:rFonts w:ascii="Calibri" w:hAnsi="Calibri" w:cs="Calibri"/>
        </w:rPr>
        <w:t xml:space="preserve"> </w:t>
      </w:r>
      <w:r w:rsidR="003C37D4" w:rsidRPr="00E12436">
        <w:rPr>
          <w:rFonts w:ascii="Calibri" w:hAnsi="Calibri" w:cs="Calibri"/>
        </w:rPr>
        <w:t>a</w:t>
      </w:r>
      <w:r w:rsidR="001D39A3" w:rsidRPr="00E12436">
        <w:rPr>
          <w:rFonts w:ascii="Calibri" w:hAnsi="Calibri" w:cs="Calibri"/>
        </w:rPr>
        <w:t xml:space="preserve"> </w:t>
      </w:r>
      <w:r w:rsidR="003C37D4" w:rsidRPr="00E12436">
        <w:rPr>
          <w:rFonts w:ascii="Calibri" w:hAnsi="Calibri" w:cs="Calibri"/>
        </w:rPr>
        <w:t>violation of their right to liberty and security under Article 5 § 1</w:t>
      </w:r>
      <w:r w:rsidR="00FF621C" w:rsidRPr="00E12436">
        <w:rPr>
          <w:rFonts w:ascii="Calibri" w:hAnsi="Calibri" w:cs="Calibri"/>
        </w:rPr>
        <w:t xml:space="preserve">. Moreover, the Court underscored that </w:t>
      </w:r>
      <w:r w:rsidR="00206CCD" w:rsidRPr="00E12436">
        <w:rPr>
          <w:rFonts w:ascii="Calibri" w:hAnsi="Calibri" w:cs="Calibri"/>
        </w:rPr>
        <w:t>‘</w:t>
      </w:r>
      <w:r w:rsidR="00EF64CE" w:rsidRPr="00E12436">
        <w:rPr>
          <w:rFonts w:ascii="Calibri" w:hAnsi="Calibri" w:cs="Calibri"/>
        </w:rPr>
        <w:t>according to Article 100 of the Turkish Code of Criminal Procedure,</w:t>
      </w:r>
      <w:r w:rsidR="006D77F2" w:rsidRPr="00E12436">
        <w:rPr>
          <w:rFonts w:ascii="Calibri" w:hAnsi="Calibri" w:cs="Calibri"/>
        </w:rPr>
        <w:t xml:space="preserve"> </w:t>
      </w:r>
      <w:r w:rsidR="00EF64CE" w:rsidRPr="00E12436">
        <w:rPr>
          <w:rFonts w:ascii="Calibri" w:hAnsi="Calibri" w:cs="Calibri"/>
        </w:rPr>
        <w:t>a</w:t>
      </w:r>
      <w:r w:rsidR="006D77F2" w:rsidRPr="00E12436">
        <w:rPr>
          <w:rFonts w:ascii="Calibri" w:hAnsi="Calibri" w:cs="Calibri"/>
        </w:rPr>
        <w:t xml:space="preserve"> </w:t>
      </w:r>
      <w:r w:rsidR="00EF64CE" w:rsidRPr="00E12436">
        <w:rPr>
          <w:rFonts w:ascii="Calibri" w:hAnsi="Calibri" w:cs="Calibri"/>
        </w:rPr>
        <w:t>person</w:t>
      </w:r>
      <w:r w:rsidR="001D39A3" w:rsidRPr="00E12436">
        <w:rPr>
          <w:rFonts w:ascii="Calibri" w:hAnsi="Calibri" w:cs="Calibri"/>
        </w:rPr>
        <w:t xml:space="preserve"> must </w:t>
      </w:r>
      <w:r w:rsidR="00EF64CE" w:rsidRPr="00E12436">
        <w:rPr>
          <w:rFonts w:ascii="Calibri" w:hAnsi="Calibri" w:cs="Calibri"/>
        </w:rPr>
        <w:t xml:space="preserve">be placed in pre-trial detention only where there </w:t>
      </w:r>
      <w:r w:rsidR="001D39A3" w:rsidRPr="00E12436">
        <w:rPr>
          <w:rFonts w:ascii="Calibri" w:hAnsi="Calibri" w:cs="Calibri"/>
        </w:rPr>
        <w:t>is</w:t>
      </w:r>
      <w:r w:rsidR="00EF64CE" w:rsidRPr="00E12436">
        <w:rPr>
          <w:rFonts w:ascii="Calibri" w:hAnsi="Calibri" w:cs="Calibri"/>
        </w:rPr>
        <w:t xml:space="preserve"> factual evidence giving rise to strong suspicion that he or she ha</w:t>
      </w:r>
      <w:r w:rsidR="00F62DD9" w:rsidRPr="00E12436">
        <w:rPr>
          <w:rFonts w:ascii="Calibri" w:hAnsi="Calibri" w:cs="Calibri"/>
        </w:rPr>
        <w:t>s</w:t>
      </w:r>
      <w:r w:rsidR="00EF64CE" w:rsidRPr="00E12436">
        <w:rPr>
          <w:rFonts w:ascii="Calibri" w:hAnsi="Calibri" w:cs="Calibri"/>
        </w:rPr>
        <w:t xml:space="preserve"> committed an offence</w:t>
      </w:r>
      <w:r w:rsidR="00206CCD" w:rsidRPr="00E12436">
        <w:rPr>
          <w:rFonts w:ascii="Calibri" w:hAnsi="Calibri" w:cs="Calibri"/>
        </w:rPr>
        <w:t>’</w:t>
      </w:r>
      <w:r w:rsidR="00EF64CE" w:rsidRPr="00E12436">
        <w:rPr>
          <w:rFonts w:ascii="Calibri" w:hAnsi="Calibri" w:cs="Calibri"/>
        </w:rPr>
        <w:t>, and consider</w:t>
      </w:r>
      <w:r w:rsidR="0080636D" w:rsidRPr="00E12436">
        <w:rPr>
          <w:rFonts w:ascii="Calibri" w:hAnsi="Calibri" w:cs="Calibri"/>
        </w:rPr>
        <w:t>ed</w:t>
      </w:r>
      <w:r w:rsidR="00EF64CE" w:rsidRPr="00E12436">
        <w:rPr>
          <w:rFonts w:ascii="Calibri" w:hAnsi="Calibri" w:cs="Calibri"/>
        </w:rPr>
        <w:t xml:space="preserve"> in this connection that </w:t>
      </w:r>
      <w:r w:rsidR="00206CCD" w:rsidRPr="00E12436">
        <w:rPr>
          <w:rFonts w:ascii="Calibri" w:hAnsi="Calibri" w:cs="Calibri"/>
        </w:rPr>
        <w:t>‘</w:t>
      </w:r>
      <w:r w:rsidR="00EF64CE" w:rsidRPr="00E12436">
        <w:rPr>
          <w:rFonts w:ascii="Calibri" w:hAnsi="Calibri" w:cs="Calibri"/>
        </w:rPr>
        <w:t xml:space="preserve">the absence of reasonable suspicion should, a fortiori, have implied an absence of strong suspicion when the national authorities </w:t>
      </w:r>
      <w:r w:rsidR="007E3CEE" w:rsidRPr="00E12436">
        <w:rPr>
          <w:rFonts w:ascii="Calibri" w:hAnsi="Calibri" w:cs="Calibri"/>
        </w:rPr>
        <w:t>had be</w:t>
      </w:r>
      <w:r w:rsidR="00A15FA0" w:rsidRPr="00E12436">
        <w:rPr>
          <w:rFonts w:ascii="Calibri" w:hAnsi="Calibri" w:cs="Calibri"/>
        </w:rPr>
        <w:t>en</w:t>
      </w:r>
      <w:r w:rsidR="00EF64CE" w:rsidRPr="00E12436">
        <w:rPr>
          <w:rFonts w:ascii="Calibri" w:hAnsi="Calibri" w:cs="Calibri"/>
        </w:rPr>
        <w:t xml:space="preserve"> called upon to assess the lawfulness of the applicants’</w:t>
      </w:r>
      <w:r w:rsidR="00C85C06" w:rsidRPr="00E12436">
        <w:rPr>
          <w:rFonts w:ascii="Calibri" w:hAnsi="Calibri" w:cs="Calibri"/>
        </w:rPr>
        <w:t xml:space="preserve"> </w:t>
      </w:r>
      <w:r w:rsidR="00EF64CE" w:rsidRPr="00E12436">
        <w:rPr>
          <w:rFonts w:ascii="Calibri" w:hAnsi="Calibri" w:cs="Calibri"/>
        </w:rPr>
        <w:t>detention</w:t>
      </w:r>
      <w:r w:rsidR="00206CCD" w:rsidRPr="00E12436">
        <w:rPr>
          <w:rFonts w:ascii="Calibri" w:hAnsi="Calibri" w:cs="Calibri"/>
        </w:rPr>
        <w:t>’</w:t>
      </w:r>
      <w:r w:rsidR="00B64372" w:rsidRPr="00E12436">
        <w:rPr>
          <w:rFonts w:ascii="Calibri" w:hAnsi="Calibri" w:cs="Calibri"/>
        </w:rPr>
        <w:t xml:space="preserve"> (</w:t>
      </w:r>
      <w:proofErr w:type="spellStart"/>
      <w:r w:rsidR="00B64372" w:rsidRPr="00E12436">
        <w:rPr>
          <w:rFonts w:ascii="Calibri" w:hAnsi="Calibri" w:cs="Calibri"/>
        </w:rPr>
        <w:t>pa</w:t>
      </w:r>
      <w:r w:rsidR="00C30E5D" w:rsidRPr="00E12436">
        <w:rPr>
          <w:rFonts w:ascii="Calibri" w:hAnsi="Calibri" w:cs="Calibri"/>
        </w:rPr>
        <w:t>r</w:t>
      </w:r>
      <w:r w:rsidR="00B64372" w:rsidRPr="00E12436">
        <w:rPr>
          <w:rFonts w:ascii="Calibri" w:hAnsi="Calibri" w:cs="Calibri"/>
        </w:rPr>
        <w:t>a</w:t>
      </w:r>
      <w:proofErr w:type="spellEnd"/>
      <w:r w:rsidR="00B64372" w:rsidRPr="00E12436">
        <w:rPr>
          <w:rFonts w:ascii="Calibri" w:hAnsi="Calibri" w:cs="Calibri"/>
        </w:rPr>
        <w:t>. 230)</w:t>
      </w:r>
      <w:r w:rsidR="00EF64CE" w:rsidRPr="00E12436">
        <w:rPr>
          <w:rFonts w:ascii="Calibri" w:hAnsi="Calibri" w:cs="Calibri"/>
        </w:rPr>
        <w:t>.</w:t>
      </w:r>
      <w:r w:rsidR="008D0CCA" w:rsidRPr="00E12436">
        <w:rPr>
          <w:rFonts w:ascii="Calibri" w:hAnsi="Calibri" w:cs="Calibri"/>
        </w:rPr>
        <w:t xml:space="preserve"> </w:t>
      </w:r>
      <w:r w:rsidR="00903DF6" w:rsidRPr="00E12436">
        <w:rPr>
          <w:rFonts w:ascii="Calibri" w:hAnsi="Calibri" w:cs="Calibri"/>
        </w:rPr>
        <w:t xml:space="preserve">Accordingly, the </w:t>
      </w:r>
      <w:proofErr w:type="gramStart"/>
      <w:r w:rsidR="00903DF6" w:rsidRPr="00E12436">
        <w:rPr>
          <w:rFonts w:ascii="Calibri" w:hAnsi="Calibri" w:cs="Calibri"/>
        </w:rPr>
        <w:t>Court</w:t>
      </w:r>
      <w:r w:rsidR="008826C5" w:rsidRPr="00E12436">
        <w:rPr>
          <w:rFonts w:ascii="Calibri" w:hAnsi="Calibri" w:cs="Calibri"/>
        </w:rPr>
        <w:t>,</w:t>
      </w:r>
      <w:proofErr w:type="gramEnd"/>
      <w:r w:rsidR="00903DF6" w:rsidRPr="00E12436">
        <w:rPr>
          <w:rFonts w:ascii="Calibri" w:hAnsi="Calibri" w:cs="Calibri"/>
        </w:rPr>
        <w:t xml:space="preserve"> </w:t>
      </w:r>
      <w:r w:rsidR="00FF2228" w:rsidRPr="00E12436">
        <w:rPr>
          <w:rFonts w:ascii="Calibri" w:hAnsi="Calibri" w:cs="Calibri"/>
        </w:rPr>
        <w:t>consider</w:t>
      </w:r>
      <w:r w:rsidR="00FD0F38" w:rsidRPr="00E12436">
        <w:rPr>
          <w:rFonts w:ascii="Calibri" w:hAnsi="Calibri" w:cs="Calibri"/>
        </w:rPr>
        <w:t>ed</w:t>
      </w:r>
      <w:r w:rsidR="00FF2228" w:rsidRPr="00E12436">
        <w:rPr>
          <w:rFonts w:ascii="Calibri" w:hAnsi="Calibri" w:cs="Calibri"/>
        </w:rPr>
        <w:t xml:space="preserve"> that the detention measure in question </w:t>
      </w:r>
      <w:r w:rsidR="009C3A08" w:rsidRPr="00E12436">
        <w:rPr>
          <w:rFonts w:ascii="Calibri" w:hAnsi="Calibri" w:cs="Calibri"/>
        </w:rPr>
        <w:t>interfering with the applicants</w:t>
      </w:r>
      <w:r w:rsidR="00E93624" w:rsidRPr="00E12436">
        <w:rPr>
          <w:rFonts w:ascii="Calibri" w:hAnsi="Calibri" w:cs="Calibri"/>
        </w:rPr>
        <w:t>’</w:t>
      </w:r>
      <w:r w:rsidR="009C3A08" w:rsidRPr="00E12436">
        <w:rPr>
          <w:rFonts w:ascii="Calibri" w:hAnsi="Calibri" w:cs="Calibri"/>
        </w:rPr>
        <w:t xml:space="preserve"> rights under Article 10</w:t>
      </w:r>
      <w:r w:rsidR="00FF2228" w:rsidRPr="00E12436">
        <w:rPr>
          <w:rFonts w:ascii="Calibri" w:hAnsi="Calibri" w:cs="Calibri"/>
        </w:rPr>
        <w:t xml:space="preserve"> was not lawful</w:t>
      </w:r>
      <w:r w:rsidR="00F55394" w:rsidRPr="00E12436">
        <w:rPr>
          <w:rFonts w:ascii="Calibri" w:hAnsi="Calibri" w:cs="Calibri"/>
        </w:rPr>
        <w:t xml:space="preserve">, </w:t>
      </w:r>
      <w:r w:rsidR="00E22C72" w:rsidRPr="00E12436">
        <w:rPr>
          <w:rFonts w:ascii="Calibri" w:hAnsi="Calibri" w:cs="Calibri"/>
        </w:rPr>
        <w:t>a</w:t>
      </w:r>
      <w:r w:rsidR="00651414" w:rsidRPr="00E12436">
        <w:rPr>
          <w:rFonts w:ascii="Calibri" w:hAnsi="Calibri" w:cs="Calibri"/>
        </w:rPr>
        <w:t xml:space="preserve">nd </w:t>
      </w:r>
      <w:r w:rsidR="003C14CF" w:rsidRPr="00E12436">
        <w:rPr>
          <w:rFonts w:ascii="Calibri" w:hAnsi="Calibri" w:cs="Calibri"/>
        </w:rPr>
        <w:t xml:space="preserve">that it could not be regarded as a restriction of </w:t>
      </w:r>
      <w:r w:rsidR="00DC3E28" w:rsidRPr="00E12436">
        <w:rPr>
          <w:rFonts w:ascii="Calibri" w:hAnsi="Calibri" w:cs="Calibri"/>
        </w:rPr>
        <w:t>that freedom</w:t>
      </w:r>
      <w:r w:rsidR="00C37918" w:rsidRPr="00E12436">
        <w:rPr>
          <w:rFonts w:ascii="Calibri" w:hAnsi="Calibri" w:cs="Calibri"/>
        </w:rPr>
        <w:t xml:space="preserve"> </w:t>
      </w:r>
      <w:r w:rsidR="009E116B" w:rsidRPr="00E12436">
        <w:rPr>
          <w:rFonts w:ascii="Calibri" w:hAnsi="Calibri" w:cs="Calibri"/>
        </w:rPr>
        <w:t xml:space="preserve">prescribed by national law. </w:t>
      </w:r>
      <w:r w:rsidR="007F5277" w:rsidRPr="00E12436">
        <w:rPr>
          <w:rFonts w:ascii="Calibri" w:hAnsi="Calibri" w:cs="Calibri"/>
        </w:rPr>
        <w:t>Thus, the Court found a violation of Article 10.</w:t>
      </w:r>
    </w:p>
    <w:p w:rsidR="007F5277" w:rsidRPr="00E12436" w:rsidRDefault="007F5277" w:rsidP="00A06E90">
      <w:pPr>
        <w:autoSpaceDE w:val="0"/>
        <w:autoSpaceDN w:val="0"/>
        <w:adjustRightInd w:val="0"/>
        <w:spacing w:after="0" w:line="240" w:lineRule="auto"/>
        <w:jc w:val="both"/>
        <w:rPr>
          <w:rFonts w:ascii="Calibri" w:hAnsi="Calibri" w:cs="Calibri"/>
        </w:rPr>
      </w:pPr>
    </w:p>
    <w:p w:rsidR="000A3439" w:rsidRPr="00E12436" w:rsidRDefault="00A51595" w:rsidP="00A06E90">
      <w:pPr>
        <w:autoSpaceDE w:val="0"/>
        <w:autoSpaceDN w:val="0"/>
        <w:adjustRightInd w:val="0"/>
        <w:spacing w:after="0" w:line="240" w:lineRule="auto"/>
        <w:jc w:val="both"/>
        <w:rPr>
          <w:rFonts w:ascii="Calibri" w:hAnsi="Calibri" w:cs="Calibri"/>
        </w:rPr>
      </w:pPr>
      <w:r w:rsidRPr="00E12436">
        <w:rPr>
          <w:rFonts w:ascii="Calibri" w:hAnsi="Calibri" w:cs="Calibri"/>
        </w:rPr>
        <w:t xml:space="preserve">As regards the complaint under </w:t>
      </w:r>
      <w:r w:rsidRPr="00E12436">
        <w:rPr>
          <w:rFonts w:ascii="Calibri" w:hAnsi="Calibri" w:cs="Calibri"/>
          <w:b/>
          <w:bCs/>
        </w:rPr>
        <w:t>Article 18</w:t>
      </w:r>
      <w:r w:rsidRPr="00E12436">
        <w:rPr>
          <w:rFonts w:ascii="Calibri" w:hAnsi="Calibri" w:cs="Calibri"/>
        </w:rPr>
        <w:t xml:space="preserve"> of the Convention,</w:t>
      </w:r>
      <w:r w:rsidR="00A73930" w:rsidRPr="00E12436">
        <w:rPr>
          <w:rFonts w:ascii="Calibri" w:hAnsi="Calibri" w:cs="Calibri"/>
        </w:rPr>
        <w:t xml:space="preserve"> the Court </w:t>
      </w:r>
      <w:r w:rsidR="00897F9D" w:rsidRPr="00E12436">
        <w:rPr>
          <w:rFonts w:ascii="Calibri" w:hAnsi="Calibri" w:cs="Calibri"/>
        </w:rPr>
        <w:t xml:space="preserve">referred to the general principles </w:t>
      </w:r>
      <w:r w:rsidR="00DA010B" w:rsidRPr="00E12436">
        <w:rPr>
          <w:rFonts w:ascii="Calibri" w:hAnsi="Calibri" w:cs="Calibri"/>
        </w:rPr>
        <w:t xml:space="preserve">set out in its judgments in </w:t>
      </w:r>
      <w:proofErr w:type="spellStart"/>
      <w:r w:rsidR="00DA010B" w:rsidRPr="00E12436">
        <w:rPr>
          <w:rFonts w:ascii="Calibri" w:hAnsi="Calibri" w:cs="Calibri"/>
          <w:i/>
          <w:iCs/>
        </w:rPr>
        <w:t>Merabishvili</w:t>
      </w:r>
      <w:proofErr w:type="spellEnd"/>
      <w:r w:rsidR="00DA010B" w:rsidRPr="00E12436">
        <w:rPr>
          <w:rFonts w:ascii="Calibri" w:hAnsi="Calibri" w:cs="Calibri"/>
          <w:i/>
          <w:iCs/>
        </w:rPr>
        <w:t xml:space="preserve"> </w:t>
      </w:r>
      <w:r w:rsidR="001A4067" w:rsidRPr="00E12436">
        <w:rPr>
          <w:rFonts w:ascii="Calibri" w:hAnsi="Calibri" w:cs="Calibri"/>
          <w:i/>
          <w:iCs/>
        </w:rPr>
        <w:t>v. Georgia</w:t>
      </w:r>
      <w:r w:rsidR="005B2629" w:rsidRPr="00E12436">
        <w:rPr>
          <w:rStyle w:val="DipnotBavurusu"/>
          <w:rFonts w:ascii="Calibri" w:hAnsi="Calibri" w:cs="Calibri"/>
          <w:i/>
          <w:iCs/>
        </w:rPr>
        <w:footnoteReference w:id="7"/>
      </w:r>
      <w:r w:rsidR="001A4067" w:rsidRPr="00E12436">
        <w:rPr>
          <w:rFonts w:ascii="Calibri" w:hAnsi="Calibri" w:cs="Calibri"/>
        </w:rPr>
        <w:t xml:space="preserve"> and </w:t>
      </w:r>
      <w:proofErr w:type="spellStart"/>
      <w:r w:rsidR="001A4067" w:rsidRPr="00E12436">
        <w:rPr>
          <w:rFonts w:ascii="Calibri" w:hAnsi="Calibri" w:cs="Calibri"/>
          <w:i/>
          <w:iCs/>
        </w:rPr>
        <w:t>Navalny</w:t>
      </w:r>
      <w:proofErr w:type="spellEnd"/>
      <w:r w:rsidR="001A4067" w:rsidRPr="00E12436">
        <w:rPr>
          <w:rFonts w:ascii="Calibri" w:hAnsi="Calibri" w:cs="Calibri"/>
          <w:i/>
          <w:iCs/>
        </w:rPr>
        <w:t xml:space="preserve"> v. Russia</w:t>
      </w:r>
      <w:r w:rsidR="005B2629" w:rsidRPr="00E12436">
        <w:rPr>
          <w:rStyle w:val="DipnotBavurusu"/>
          <w:rFonts w:ascii="Calibri" w:hAnsi="Calibri" w:cs="Calibri"/>
          <w:i/>
          <w:iCs/>
        </w:rPr>
        <w:footnoteReference w:id="8"/>
      </w:r>
      <w:r w:rsidR="001A4067" w:rsidRPr="00E12436">
        <w:rPr>
          <w:rFonts w:ascii="Calibri" w:hAnsi="Calibri" w:cs="Calibri"/>
        </w:rPr>
        <w:t>.</w:t>
      </w:r>
      <w:r w:rsidR="005B2629" w:rsidRPr="00E12436">
        <w:rPr>
          <w:rFonts w:ascii="Calibri" w:hAnsi="Calibri" w:cs="Calibri"/>
        </w:rPr>
        <w:t xml:space="preserve"> </w:t>
      </w:r>
      <w:r w:rsidR="006C737D" w:rsidRPr="00E12436">
        <w:rPr>
          <w:rFonts w:ascii="Calibri" w:hAnsi="Calibri" w:cs="Calibri"/>
        </w:rPr>
        <w:t xml:space="preserve">However, after </w:t>
      </w:r>
      <w:r w:rsidR="00F524B6" w:rsidRPr="00E12436">
        <w:rPr>
          <w:rFonts w:ascii="Calibri" w:hAnsi="Calibri" w:cs="Calibri"/>
        </w:rPr>
        <w:t>examining the elements rel</w:t>
      </w:r>
      <w:r w:rsidR="00D15E0B" w:rsidRPr="00E12436">
        <w:rPr>
          <w:rFonts w:ascii="Calibri" w:hAnsi="Calibri" w:cs="Calibri"/>
        </w:rPr>
        <w:t>i</w:t>
      </w:r>
      <w:r w:rsidR="00F524B6" w:rsidRPr="00E12436">
        <w:rPr>
          <w:rFonts w:ascii="Calibri" w:hAnsi="Calibri" w:cs="Calibri"/>
        </w:rPr>
        <w:t xml:space="preserve">ed on by the applicants </w:t>
      </w:r>
      <w:r w:rsidR="00D15E0B" w:rsidRPr="00E12436">
        <w:rPr>
          <w:rFonts w:ascii="Calibri" w:hAnsi="Calibri" w:cs="Calibri"/>
        </w:rPr>
        <w:t xml:space="preserve">in support of violation of Article 18 of the Convention, it held that </w:t>
      </w:r>
      <w:r w:rsidR="0096757B" w:rsidRPr="00E12436">
        <w:rPr>
          <w:rFonts w:ascii="Calibri" w:hAnsi="Calibri" w:cs="Calibri"/>
        </w:rPr>
        <w:t xml:space="preserve">those elements “taken separately or in combination with each other, [did] not form a sufficiently homogeneous whole for the Court to find that the applicants’ detention </w:t>
      </w:r>
      <w:r w:rsidR="006612A3" w:rsidRPr="00E12436">
        <w:rPr>
          <w:rFonts w:ascii="Calibri" w:hAnsi="Calibri" w:cs="Calibri"/>
        </w:rPr>
        <w:t xml:space="preserve">had </w:t>
      </w:r>
      <w:r w:rsidR="0096757B" w:rsidRPr="00E12436">
        <w:rPr>
          <w:rFonts w:ascii="Calibri" w:hAnsi="Calibri" w:cs="Calibri"/>
        </w:rPr>
        <w:t>pursued</w:t>
      </w:r>
      <w:r w:rsidR="00BE7CEF" w:rsidRPr="00E12436">
        <w:rPr>
          <w:rFonts w:ascii="Calibri" w:hAnsi="Calibri" w:cs="Calibri"/>
        </w:rPr>
        <w:t xml:space="preserve"> </w:t>
      </w:r>
      <w:r w:rsidR="0096757B" w:rsidRPr="00E12436">
        <w:rPr>
          <w:rFonts w:ascii="Calibri" w:hAnsi="Calibri" w:cs="Calibri"/>
        </w:rPr>
        <w:t>a</w:t>
      </w:r>
      <w:r w:rsidR="00BE7CEF" w:rsidRPr="00E12436">
        <w:rPr>
          <w:rFonts w:ascii="Calibri" w:hAnsi="Calibri" w:cs="Calibri"/>
        </w:rPr>
        <w:t xml:space="preserve"> </w:t>
      </w:r>
      <w:r w:rsidR="0096757B" w:rsidRPr="00E12436">
        <w:rPr>
          <w:rFonts w:ascii="Calibri" w:hAnsi="Calibri" w:cs="Calibri"/>
        </w:rPr>
        <w:t>purpose not prescribed by the Convention and representing</w:t>
      </w:r>
      <w:r w:rsidR="00BE7CEF" w:rsidRPr="00E12436">
        <w:rPr>
          <w:rFonts w:ascii="Calibri" w:hAnsi="Calibri" w:cs="Calibri"/>
        </w:rPr>
        <w:t xml:space="preserve"> </w:t>
      </w:r>
      <w:r w:rsidR="0096757B" w:rsidRPr="00E12436">
        <w:rPr>
          <w:rFonts w:ascii="Calibri" w:hAnsi="Calibri" w:cs="Calibri"/>
        </w:rPr>
        <w:t>a</w:t>
      </w:r>
      <w:r w:rsidR="00BE7CEF" w:rsidRPr="00E12436">
        <w:rPr>
          <w:rFonts w:ascii="Calibri" w:hAnsi="Calibri" w:cs="Calibri"/>
        </w:rPr>
        <w:t xml:space="preserve"> </w:t>
      </w:r>
      <w:r w:rsidR="0096757B" w:rsidRPr="00E12436">
        <w:rPr>
          <w:rFonts w:ascii="Calibri" w:hAnsi="Calibri" w:cs="Calibri"/>
        </w:rPr>
        <w:t>fundamental aspect of the case.</w:t>
      </w:r>
      <w:r w:rsidR="009B7D3C" w:rsidRPr="00E12436">
        <w:rPr>
          <w:rFonts w:ascii="Calibri" w:hAnsi="Calibri" w:cs="Calibri"/>
        </w:rPr>
        <w:t>”</w:t>
      </w:r>
    </w:p>
    <w:p w:rsidR="00A51595" w:rsidRPr="00E12436" w:rsidRDefault="00A51595" w:rsidP="00A06E90">
      <w:pPr>
        <w:autoSpaceDE w:val="0"/>
        <w:autoSpaceDN w:val="0"/>
        <w:adjustRightInd w:val="0"/>
        <w:spacing w:after="0" w:line="240" w:lineRule="auto"/>
        <w:jc w:val="both"/>
        <w:rPr>
          <w:rFonts w:ascii="Calibri" w:hAnsi="Calibri" w:cs="Calibri"/>
        </w:rPr>
      </w:pPr>
    </w:p>
    <w:p w:rsidR="000A3439" w:rsidRPr="00E12436" w:rsidRDefault="000A3439" w:rsidP="00A06E90">
      <w:pPr>
        <w:autoSpaceDE w:val="0"/>
        <w:autoSpaceDN w:val="0"/>
        <w:adjustRightInd w:val="0"/>
        <w:spacing w:after="0" w:line="240" w:lineRule="auto"/>
        <w:jc w:val="both"/>
        <w:rPr>
          <w:rFonts w:ascii="Calibri" w:hAnsi="Calibri" w:cs="Calibri"/>
        </w:rPr>
      </w:pPr>
    </w:p>
    <w:p w:rsidR="008F261C" w:rsidRPr="00E12436" w:rsidRDefault="002903B1" w:rsidP="004F4C07">
      <w:pPr>
        <w:spacing w:line="240" w:lineRule="auto"/>
        <w:contextualSpacing/>
        <w:rPr>
          <w:b/>
          <w:bCs/>
        </w:rPr>
      </w:pPr>
      <w:proofErr w:type="spellStart"/>
      <w:r w:rsidRPr="00E12436">
        <w:rPr>
          <w:rFonts w:ascii="Calibri" w:hAnsi="Calibri" w:cs="Calibri"/>
          <w:b/>
          <w:bCs/>
        </w:rPr>
        <w:t>Şık</w:t>
      </w:r>
      <w:proofErr w:type="spellEnd"/>
      <w:r w:rsidRPr="00E12436">
        <w:rPr>
          <w:rFonts w:ascii="Calibri" w:hAnsi="Calibri" w:cs="Calibri"/>
          <w:b/>
          <w:bCs/>
        </w:rPr>
        <w:t xml:space="preserve"> v. Turkey</w:t>
      </w:r>
      <w:r w:rsidR="00764789" w:rsidRPr="00E12436">
        <w:rPr>
          <w:rFonts w:ascii="Calibri" w:hAnsi="Calibri" w:cs="Calibri"/>
          <w:b/>
          <w:bCs/>
        </w:rPr>
        <w:t xml:space="preserve"> </w:t>
      </w:r>
      <w:r w:rsidR="002063DF" w:rsidRPr="00E12436">
        <w:rPr>
          <w:rFonts w:ascii="Calibri" w:hAnsi="Calibri" w:cs="Calibri"/>
          <w:b/>
          <w:bCs/>
        </w:rPr>
        <w:t>(No. 2) (36493/17)</w:t>
      </w:r>
      <w:r w:rsidR="005C3D73" w:rsidRPr="00E12436">
        <w:rPr>
          <w:rFonts w:ascii="Calibri" w:hAnsi="Calibri" w:cs="Calibri"/>
          <w:b/>
          <w:bCs/>
        </w:rPr>
        <w:t>, 24 November 2020</w:t>
      </w:r>
    </w:p>
    <w:p w:rsidR="008F261C" w:rsidRPr="00E12436" w:rsidRDefault="008F261C" w:rsidP="004F4C07">
      <w:pPr>
        <w:spacing w:line="240" w:lineRule="auto"/>
        <w:contextualSpacing/>
      </w:pPr>
    </w:p>
    <w:p w:rsidR="00887B8C" w:rsidRPr="00E12436" w:rsidRDefault="00887B8C" w:rsidP="006E578A">
      <w:pPr>
        <w:spacing w:line="240" w:lineRule="auto"/>
        <w:contextualSpacing/>
        <w:jc w:val="both"/>
      </w:pPr>
      <w:proofErr w:type="spellStart"/>
      <w:r w:rsidRPr="00E12436">
        <w:t>Ahmet</w:t>
      </w:r>
      <w:proofErr w:type="spellEnd"/>
      <w:r w:rsidRPr="00E12436">
        <w:t xml:space="preserve"> </w:t>
      </w:r>
      <w:proofErr w:type="spellStart"/>
      <w:r w:rsidRPr="00E12436">
        <w:t>Şık</w:t>
      </w:r>
      <w:proofErr w:type="spellEnd"/>
      <w:r w:rsidR="00F1605E" w:rsidRPr="00E12436">
        <w:t xml:space="preserve">, a journalist by profession, worked for the daily newspaper </w:t>
      </w:r>
      <w:proofErr w:type="spellStart"/>
      <w:r w:rsidR="00F1605E" w:rsidRPr="00E12436">
        <w:rPr>
          <w:i/>
          <w:iCs/>
        </w:rPr>
        <w:t>Cumhuriyet</w:t>
      </w:r>
      <w:proofErr w:type="spellEnd"/>
      <w:r w:rsidR="00F1605E" w:rsidRPr="00E12436">
        <w:rPr>
          <w:i/>
          <w:iCs/>
        </w:rPr>
        <w:t xml:space="preserve"> </w:t>
      </w:r>
      <w:r w:rsidR="00F1605E" w:rsidRPr="00E12436">
        <w:t>at the relevant time</w:t>
      </w:r>
      <w:r w:rsidR="00F963DC" w:rsidRPr="00E12436">
        <w:t>.</w:t>
      </w:r>
      <w:r w:rsidR="006A3392" w:rsidRPr="00E12436">
        <w:t xml:space="preserve"> </w:t>
      </w:r>
      <w:r w:rsidR="00491A13" w:rsidRPr="00E12436">
        <w:t>I</w:t>
      </w:r>
      <w:r w:rsidR="00ED383D" w:rsidRPr="00E12436">
        <w:t>n December 2016, h</w:t>
      </w:r>
      <w:r w:rsidR="00F963DC" w:rsidRPr="00E12436">
        <w:t xml:space="preserve">e was arrested and </w:t>
      </w:r>
      <w:r w:rsidR="00206CCD" w:rsidRPr="00E12436">
        <w:t>later</w:t>
      </w:r>
      <w:r w:rsidR="00440DD1" w:rsidRPr="00E12436">
        <w:t xml:space="preserve"> </w:t>
      </w:r>
      <w:r w:rsidR="008409D2" w:rsidRPr="00E12436">
        <w:t xml:space="preserve">placed in </w:t>
      </w:r>
      <w:r w:rsidR="00ED383D" w:rsidRPr="00E12436">
        <w:t>pre-trial detention</w:t>
      </w:r>
      <w:r w:rsidR="00F963DC" w:rsidRPr="00E12436">
        <w:t xml:space="preserve"> on suspicion of</w:t>
      </w:r>
      <w:r w:rsidR="006A3392" w:rsidRPr="00E12436">
        <w:t xml:space="preserve"> </w:t>
      </w:r>
      <w:r w:rsidR="00F963DC" w:rsidRPr="00E12436">
        <w:t>disseminating propaganda on behalf of organisations considered by the government as terrorist</w:t>
      </w:r>
      <w:r w:rsidR="006A3392" w:rsidRPr="00E12436">
        <w:t xml:space="preserve"> </w:t>
      </w:r>
      <w:r w:rsidR="00F963DC" w:rsidRPr="00E12436">
        <w:t>organisations, namely the PKK (the Kurdistan Workers’ Party, an illegal armed organisation),</w:t>
      </w:r>
      <w:r w:rsidR="006A3392" w:rsidRPr="00E12436">
        <w:t xml:space="preserve"> </w:t>
      </w:r>
      <w:r w:rsidR="00F963DC" w:rsidRPr="00E12436">
        <w:t>FETÖ/PDY (</w:t>
      </w:r>
      <w:proofErr w:type="spellStart"/>
      <w:r w:rsidR="00F963DC" w:rsidRPr="00E12436">
        <w:t>Fethullahist</w:t>
      </w:r>
      <w:proofErr w:type="spellEnd"/>
      <w:r w:rsidR="00F963DC" w:rsidRPr="00E12436">
        <w:t xml:space="preserve"> Terror Organisation/Parallel State Structure), and the DHKP/C (People’s</w:t>
      </w:r>
      <w:r w:rsidR="006A3392" w:rsidRPr="00E12436">
        <w:t xml:space="preserve"> </w:t>
      </w:r>
      <w:r w:rsidR="00F963DC" w:rsidRPr="00E12436">
        <w:t>Revolutionary Liberation Party/Front).</w:t>
      </w:r>
      <w:r w:rsidR="00F402A2" w:rsidRPr="00E12436">
        <w:t xml:space="preserve"> </w:t>
      </w:r>
      <w:r w:rsidR="00DD3D69" w:rsidRPr="00E12436">
        <w:t>The</w:t>
      </w:r>
      <w:r w:rsidR="00A16EE5" w:rsidRPr="00E12436">
        <w:t xml:space="preserve"> </w:t>
      </w:r>
      <w:r w:rsidR="00F54F03" w:rsidRPr="00E12436">
        <w:t>domestic court</w:t>
      </w:r>
      <w:r w:rsidR="0083248E" w:rsidRPr="00E12436">
        <w:t xml:space="preserve">, </w:t>
      </w:r>
      <w:r w:rsidR="00887CD9" w:rsidRPr="00E12436">
        <w:t xml:space="preserve">in </w:t>
      </w:r>
      <w:r w:rsidR="0083248E" w:rsidRPr="00E12436">
        <w:t>ordering</w:t>
      </w:r>
      <w:r w:rsidR="00887CD9" w:rsidRPr="00E12436">
        <w:t xml:space="preserve"> </w:t>
      </w:r>
      <w:r w:rsidR="0007646C" w:rsidRPr="00E12436">
        <w:t>the applicant’s pre-trial</w:t>
      </w:r>
      <w:r w:rsidR="0083248E" w:rsidRPr="00E12436">
        <w:t xml:space="preserve"> </w:t>
      </w:r>
      <w:r w:rsidR="00206CCD" w:rsidRPr="00E12436">
        <w:t xml:space="preserve">detention </w:t>
      </w:r>
      <w:r w:rsidR="0067490F" w:rsidRPr="00E12436">
        <w:t xml:space="preserve">referred to </w:t>
      </w:r>
      <w:r w:rsidR="00421C25" w:rsidRPr="00E12436">
        <w:t xml:space="preserve">five articles of the applicants that had been published </w:t>
      </w:r>
      <w:r w:rsidR="00CA3641" w:rsidRPr="00E12436">
        <w:t xml:space="preserve">in the daily newspaper </w:t>
      </w:r>
      <w:proofErr w:type="spellStart"/>
      <w:r w:rsidR="00CA3641" w:rsidRPr="00E12436">
        <w:rPr>
          <w:i/>
          <w:iCs/>
        </w:rPr>
        <w:t>Cumhuriyet</w:t>
      </w:r>
      <w:proofErr w:type="spellEnd"/>
      <w:r w:rsidR="00CA3641" w:rsidRPr="00E12436">
        <w:rPr>
          <w:i/>
          <w:iCs/>
        </w:rPr>
        <w:t xml:space="preserve"> </w:t>
      </w:r>
      <w:r w:rsidR="00CA3641" w:rsidRPr="00E12436">
        <w:t xml:space="preserve">and </w:t>
      </w:r>
      <w:r w:rsidR="009B115D" w:rsidRPr="00E12436">
        <w:t xml:space="preserve">several </w:t>
      </w:r>
      <w:r w:rsidR="0083248E" w:rsidRPr="00E12436">
        <w:t xml:space="preserve">tweets posted by </w:t>
      </w:r>
      <w:r w:rsidR="00F54F03" w:rsidRPr="00E12436">
        <w:t>him.</w:t>
      </w:r>
      <w:r w:rsidR="00206CCD" w:rsidRPr="00E12436">
        <w:t xml:space="preserve"> </w:t>
      </w:r>
      <w:r w:rsidR="00F54F03" w:rsidRPr="00E12436">
        <w:t>Subsequently, t</w:t>
      </w:r>
      <w:r w:rsidR="006919D9" w:rsidRPr="00E12436">
        <w:t xml:space="preserve">he </w:t>
      </w:r>
      <w:r w:rsidR="00B05016" w:rsidRPr="00E12436">
        <w:t>domestic court</w:t>
      </w:r>
      <w:r w:rsidR="00DE1783" w:rsidRPr="00E12436">
        <w:t>s ordered</w:t>
      </w:r>
      <w:r w:rsidR="0062684F" w:rsidRPr="00E12436">
        <w:t xml:space="preserve"> several times</w:t>
      </w:r>
      <w:r w:rsidR="00DE1783" w:rsidRPr="00E12436">
        <w:t xml:space="preserve"> </w:t>
      </w:r>
      <w:r w:rsidR="0062684F" w:rsidRPr="00E12436">
        <w:t xml:space="preserve">the continuation of </w:t>
      </w:r>
      <w:r w:rsidR="00DE1783" w:rsidRPr="00E12436">
        <w:t xml:space="preserve">Mr </w:t>
      </w:r>
      <w:proofErr w:type="spellStart"/>
      <w:r w:rsidR="00DE1783" w:rsidRPr="00E12436">
        <w:t>Şık’s</w:t>
      </w:r>
      <w:proofErr w:type="spellEnd"/>
      <w:r w:rsidR="00DE1783" w:rsidRPr="00E12436">
        <w:t xml:space="preserve"> </w:t>
      </w:r>
      <w:r w:rsidR="0062684F" w:rsidRPr="00E12436">
        <w:t>pre-trial detention</w:t>
      </w:r>
      <w:r w:rsidR="006E578A" w:rsidRPr="00E12436">
        <w:t xml:space="preserve">, on the grounds that the offence of which he </w:t>
      </w:r>
      <w:r w:rsidR="00206CCD" w:rsidRPr="00E12436">
        <w:t>had been</w:t>
      </w:r>
      <w:r w:rsidR="006E578A" w:rsidRPr="00E12436">
        <w:t xml:space="preserve"> accused was among the </w:t>
      </w:r>
      <w:r w:rsidR="00206CCD" w:rsidRPr="00E12436">
        <w:t>‘</w:t>
      </w:r>
      <w:r w:rsidR="006E578A" w:rsidRPr="00E12436">
        <w:t>catalogue offences</w:t>
      </w:r>
      <w:r w:rsidR="00206CCD" w:rsidRPr="00E12436">
        <w:t>’</w:t>
      </w:r>
      <w:r w:rsidR="006E578A" w:rsidRPr="00E12436">
        <w:t xml:space="preserve"> listed in Article 100 § 3 of the Code of Criminal Procedure</w:t>
      </w:r>
      <w:r w:rsidR="00520D4E" w:rsidRPr="00E12436">
        <w:t xml:space="preserve"> and that he posed a flight risk.</w:t>
      </w:r>
      <w:r w:rsidR="00E07E9B" w:rsidRPr="00E12436">
        <w:t xml:space="preserve"> </w:t>
      </w:r>
    </w:p>
    <w:p w:rsidR="00D5327C" w:rsidRPr="00E12436" w:rsidRDefault="00D5327C" w:rsidP="006E578A">
      <w:pPr>
        <w:spacing w:line="240" w:lineRule="auto"/>
        <w:contextualSpacing/>
        <w:jc w:val="both"/>
      </w:pPr>
    </w:p>
    <w:p w:rsidR="00994DCE" w:rsidRPr="00E12436" w:rsidRDefault="004446ED" w:rsidP="00994DCE">
      <w:pPr>
        <w:spacing w:line="240" w:lineRule="auto"/>
        <w:contextualSpacing/>
        <w:jc w:val="both"/>
      </w:pPr>
      <w:r w:rsidRPr="00E12436">
        <w:t>In</w:t>
      </w:r>
      <w:r w:rsidR="00587814" w:rsidRPr="00E12436">
        <w:t xml:space="preserve"> Ap</w:t>
      </w:r>
      <w:r w:rsidR="00DF4F22" w:rsidRPr="00E12436">
        <w:t xml:space="preserve">ril 2017, </w:t>
      </w:r>
      <w:r w:rsidR="000E4D2A" w:rsidRPr="00E12436">
        <w:t>the Istanbul public prosecutor</w:t>
      </w:r>
      <w:r w:rsidR="00FD794D" w:rsidRPr="00E12436">
        <w:t xml:space="preserve">’s office </w:t>
      </w:r>
      <w:r w:rsidR="00C758CC" w:rsidRPr="00E12436">
        <w:t xml:space="preserve">filed a </w:t>
      </w:r>
      <w:r w:rsidR="00C045B6" w:rsidRPr="00E12436">
        <w:t>bill of indictment against seventeen indiv</w:t>
      </w:r>
      <w:r w:rsidR="006813B5" w:rsidRPr="00E12436">
        <w:t>id</w:t>
      </w:r>
      <w:r w:rsidR="00C045B6" w:rsidRPr="00E12436">
        <w:t xml:space="preserve">uals including the applicant, and the applicants in the case of </w:t>
      </w:r>
      <w:proofErr w:type="spellStart"/>
      <w:r w:rsidR="00C045B6" w:rsidRPr="00E12436">
        <w:rPr>
          <w:i/>
          <w:iCs/>
        </w:rPr>
        <w:t>Sabuncu</w:t>
      </w:r>
      <w:proofErr w:type="spellEnd"/>
      <w:r w:rsidR="00C045B6" w:rsidRPr="00E12436">
        <w:rPr>
          <w:i/>
          <w:iCs/>
        </w:rPr>
        <w:t xml:space="preserve"> and Others v. Turkey</w:t>
      </w:r>
      <w:r w:rsidR="00F04801" w:rsidRPr="00E12436">
        <w:t xml:space="preserve">. </w:t>
      </w:r>
      <w:r w:rsidR="00426E52" w:rsidRPr="00E12436">
        <w:t xml:space="preserve">According to the indictment, </w:t>
      </w:r>
      <w:r w:rsidR="00206CCD" w:rsidRPr="00E12436">
        <w:t>‘</w:t>
      </w:r>
      <w:r w:rsidR="00426E52" w:rsidRPr="00E12436">
        <w:t xml:space="preserve">the newspaper </w:t>
      </w:r>
      <w:proofErr w:type="spellStart"/>
      <w:r w:rsidR="00426E52" w:rsidRPr="00E12436">
        <w:t>Cumhuriyet</w:t>
      </w:r>
      <w:proofErr w:type="spellEnd"/>
      <w:r w:rsidR="00426E52" w:rsidRPr="00E12436">
        <w:t xml:space="preserve"> had conveyed </w:t>
      </w:r>
      <w:r w:rsidR="006F12C7" w:rsidRPr="00E12436">
        <w:t>manipulative and destructive information concerning the State</w:t>
      </w:r>
      <w:r w:rsidR="006813B5" w:rsidRPr="00E12436">
        <w:t>’</w:t>
      </w:r>
      <w:r w:rsidR="00E100B3" w:rsidRPr="00E12436">
        <w:t xml:space="preserve"> by </w:t>
      </w:r>
      <w:r w:rsidR="006813B5" w:rsidRPr="00E12436">
        <w:t>‘</w:t>
      </w:r>
      <w:r w:rsidR="00E100B3" w:rsidRPr="00E12436">
        <w:t xml:space="preserve">publishing articles </w:t>
      </w:r>
      <w:r w:rsidR="00B259C3" w:rsidRPr="00E12436">
        <w:t xml:space="preserve">that were glaringly at odds with </w:t>
      </w:r>
      <w:r w:rsidR="00B259C3" w:rsidRPr="00E12436">
        <w:lastRenderedPageBreak/>
        <w:t>the world view of its readers (some of which had been written by the applicant</w:t>
      </w:r>
      <w:r w:rsidR="009F1DA7" w:rsidRPr="00E12436">
        <w:t>).</w:t>
      </w:r>
      <w:r w:rsidR="00206CCD" w:rsidRPr="00E12436">
        <w:t>’</w:t>
      </w:r>
      <w:r w:rsidR="009F1DA7" w:rsidRPr="00E12436">
        <w:t xml:space="preserve"> </w:t>
      </w:r>
      <w:proofErr w:type="gramStart"/>
      <w:r w:rsidR="00206CCD" w:rsidRPr="00E12436">
        <w:t>(</w:t>
      </w:r>
      <w:proofErr w:type="spellStart"/>
      <w:r w:rsidR="00206CCD" w:rsidRPr="00E12436">
        <w:t>para</w:t>
      </w:r>
      <w:proofErr w:type="spellEnd"/>
      <w:r w:rsidR="00206CCD" w:rsidRPr="00E12436">
        <w:t>. 28).</w:t>
      </w:r>
      <w:proofErr w:type="gramEnd"/>
      <w:r w:rsidR="00206CCD" w:rsidRPr="00E12436">
        <w:t xml:space="preserve"> </w:t>
      </w:r>
      <w:r w:rsidR="009F1DA7" w:rsidRPr="00E12436">
        <w:t>T</w:t>
      </w:r>
      <w:r w:rsidR="00DF4F22" w:rsidRPr="00E12436">
        <w:t xml:space="preserve">he </w:t>
      </w:r>
      <w:r w:rsidR="00861498" w:rsidRPr="00E12436">
        <w:t>applicant</w:t>
      </w:r>
      <w:r w:rsidR="00CB7893" w:rsidRPr="00E12436">
        <w:t xml:space="preserve">, </w:t>
      </w:r>
      <w:r w:rsidR="008A13A0" w:rsidRPr="00E12436">
        <w:t xml:space="preserve">together with the applicants in the case of </w:t>
      </w:r>
      <w:proofErr w:type="spellStart"/>
      <w:r w:rsidR="008A13A0" w:rsidRPr="00E12436">
        <w:rPr>
          <w:i/>
          <w:iCs/>
        </w:rPr>
        <w:t>Sabuncu</w:t>
      </w:r>
      <w:proofErr w:type="spellEnd"/>
      <w:r w:rsidR="008A13A0" w:rsidRPr="00E12436">
        <w:rPr>
          <w:i/>
          <w:iCs/>
        </w:rPr>
        <w:t xml:space="preserve"> and Others v. Turkey</w:t>
      </w:r>
      <w:r w:rsidR="008A13A0" w:rsidRPr="00E12436">
        <w:t>,</w:t>
      </w:r>
      <w:r w:rsidR="00861498" w:rsidRPr="00E12436">
        <w:t xml:space="preserve"> was charged </w:t>
      </w:r>
      <w:r w:rsidR="00872F7B" w:rsidRPr="00E12436">
        <w:t xml:space="preserve">with </w:t>
      </w:r>
      <w:r w:rsidR="000F1E31" w:rsidRPr="00E12436">
        <w:t xml:space="preserve">assisting terrorist organisations without being a member of them, an offence under Article 220 § 7 of the Criminal Code. </w:t>
      </w:r>
      <w:r w:rsidR="00827B05" w:rsidRPr="00E12436">
        <w:t xml:space="preserve">On 9 March 2018 he was released pending trial. On 25 April 2018 the Istanbul Assize Court </w:t>
      </w:r>
      <w:r w:rsidR="001C35B5" w:rsidRPr="00E12436">
        <w:t>sentenced him to seven years and six months’ imprisonment for assisting the terrorist organisations the PKK, the DHKP/C and FETÖ without being a</w:t>
      </w:r>
      <w:r w:rsidR="00975304" w:rsidRPr="00E12436">
        <w:t xml:space="preserve"> </w:t>
      </w:r>
      <w:r w:rsidR="001C35B5" w:rsidRPr="00E12436">
        <w:t>member of those organisations.</w:t>
      </w:r>
      <w:r w:rsidR="006656E3" w:rsidRPr="00E12436">
        <w:t xml:space="preserve"> </w:t>
      </w:r>
      <w:r w:rsidR="00AF3B2B" w:rsidRPr="00E12436">
        <w:t xml:space="preserve">The </w:t>
      </w:r>
      <w:r w:rsidR="00994DCE" w:rsidRPr="00E12436">
        <w:t>criminal proceedings are</w:t>
      </w:r>
      <w:r w:rsidR="00D109A5" w:rsidRPr="00E12436">
        <w:t xml:space="preserve"> still pending </w:t>
      </w:r>
      <w:r w:rsidR="00994DCE" w:rsidRPr="00E12436">
        <w:t>before the plenary criminal divisions of the Court of Cassation</w:t>
      </w:r>
    </w:p>
    <w:p w:rsidR="00813EE3" w:rsidRPr="00E12436" w:rsidRDefault="00813EE3" w:rsidP="001C35B5">
      <w:pPr>
        <w:spacing w:line="240" w:lineRule="auto"/>
        <w:contextualSpacing/>
        <w:jc w:val="both"/>
      </w:pPr>
    </w:p>
    <w:p w:rsidR="001B6C87" w:rsidRPr="00E12436" w:rsidRDefault="007610BF" w:rsidP="001C35B5">
      <w:pPr>
        <w:spacing w:line="240" w:lineRule="auto"/>
        <w:contextualSpacing/>
        <w:jc w:val="both"/>
      </w:pPr>
      <w:r w:rsidRPr="00E12436">
        <w:t xml:space="preserve">In the meantime, </w:t>
      </w:r>
      <w:r w:rsidR="00F64D31" w:rsidRPr="00E12436">
        <w:t xml:space="preserve">on </w:t>
      </w:r>
      <w:r w:rsidR="008D68A8" w:rsidRPr="00E12436">
        <w:t xml:space="preserve">30 January 2017 </w:t>
      </w:r>
      <w:r w:rsidR="001F5626" w:rsidRPr="00E12436">
        <w:t xml:space="preserve">Mr. </w:t>
      </w:r>
      <w:proofErr w:type="spellStart"/>
      <w:r w:rsidR="001F5626" w:rsidRPr="00E12436">
        <w:t>Şık</w:t>
      </w:r>
      <w:proofErr w:type="spellEnd"/>
      <w:r w:rsidR="001F5626" w:rsidRPr="00E12436">
        <w:t xml:space="preserve"> lodged an individual application with the Constitutional Court which was dismissed on 2 May 2019 as being manifestly ill-founded. </w:t>
      </w:r>
    </w:p>
    <w:p w:rsidR="001B6C87" w:rsidRPr="00E12436" w:rsidRDefault="001B6C87" w:rsidP="001C35B5">
      <w:pPr>
        <w:spacing w:line="240" w:lineRule="auto"/>
        <w:contextualSpacing/>
        <w:jc w:val="both"/>
      </w:pPr>
    </w:p>
    <w:p w:rsidR="006A3392" w:rsidRPr="00E12436" w:rsidRDefault="001264F7" w:rsidP="00F963DC">
      <w:pPr>
        <w:spacing w:line="240" w:lineRule="auto"/>
        <w:contextualSpacing/>
        <w:rPr>
          <w:b/>
          <w:bCs/>
        </w:rPr>
      </w:pPr>
      <w:r w:rsidRPr="00E12436">
        <w:rPr>
          <w:b/>
          <w:bCs/>
        </w:rPr>
        <w:t>Judgment</w:t>
      </w:r>
    </w:p>
    <w:p w:rsidR="001264F7" w:rsidRPr="00E12436" w:rsidRDefault="001264F7" w:rsidP="00F963DC">
      <w:pPr>
        <w:spacing w:line="240" w:lineRule="auto"/>
        <w:contextualSpacing/>
      </w:pPr>
    </w:p>
    <w:p w:rsidR="00997DA3" w:rsidRPr="00E12436" w:rsidRDefault="006B7EE5" w:rsidP="00E17BE7">
      <w:pPr>
        <w:spacing w:line="240" w:lineRule="auto"/>
        <w:contextualSpacing/>
        <w:jc w:val="both"/>
      </w:pPr>
      <w:r w:rsidRPr="00E12436">
        <w:t xml:space="preserve">Mr. </w:t>
      </w:r>
      <w:proofErr w:type="spellStart"/>
      <w:r w:rsidRPr="00E12436">
        <w:t>Şık</w:t>
      </w:r>
      <w:proofErr w:type="spellEnd"/>
      <w:r w:rsidRPr="00E12436">
        <w:t xml:space="preserve"> </w:t>
      </w:r>
      <w:r w:rsidR="004E6BF6" w:rsidRPr="00E12436">
        <w:t xml:space="preserve">raised </w:t>
      </w:r>
      <w:r w:rsidR="00902C0D" w:rsidRPr="00E12436">
        <w:t xml:space="preserve">very </w:t>
      </w:r>
      <w:r w:rsidR="004E6BF6" w:rsidRPr="00E12436">
        <w:t>similar complaints</w:t>
      </w:r>
      <w:r w:rsidR="00902C0D" w:rsidRPr="00E12436">
        <w:t xml:space="preserve"> with the applicants in the case of </w:t>
      </w:r>
      <w:proofErr w:type="spellStart"/>
      <w:r w:rsidR="00902C0D" w:rsidRPr="00E12436">
        <w:rPr>
          <w:i/>
          <w:iCs/>
        </w:rPr>
        <w:t>Sabuncu</w:t>
      </w:r>
      <w:proofErr w:type="spellEnd"/>
      <w:r w:rsidR="00902C0D" w:rsidRPr="00E12436">
        <w:rPr>
          <w:i/>
          <w:iCs/>
        </w:rPr>
        <w:t xml:space="preserve"> and Others v. Turkey</w:t>
      </w:r>
      <w:r w:rsidR="000E1A34" w:rsidRPr="00E12436">
        <w:t xml:space="preserve">, and alleged that his rights </w:t>
      </w:r>
      <w:r w:rsidR="004E6BF6" w:rsidRPr="00E12436">
        <w:t xml:space="preserve">under </w:t>
      </w:r>
      <w:r w:rsidR="00A142DA" w:rsidRPr="00E12436">
        <w:t xml:space="preserve">Article </w:t>
      </w:r>
      <w:r w:rsidR="009E3441" w:rsidRPr="00E12436">
        <w:t>5 § 1 (right to liberty and security)</w:t>
      </w:r>
      <w:r w:rsidR="00BA4B96" w:rsidRPr="00E12436">
        <w:t>, 5 § 4 (right to speedy review of the lawfulness of detention), Article 10 (freedom of expression),</w:t>
      </w:r>
      <w:r w:rsidR="00902C0D" w:rsidRPr="00E12436">
        <w:t xml:space="preserve"> and Article 18</w:t>
      </w:r>
      <w:r w:rsidR="00206CCD" w:rsidRPr="00E12436">
        <w:t xml:space="preserve"> (limitation on use of the restrictions on rights)</w:t>
      </w:r>
      <w:r w:rsidR="00902C0D" w:rsidRPr="00E12436">
        <w:t xml:space="preserve"> of the Convention</w:t>
      </w:r>
      <w:r w:rsidR="00F26494" w:rsidRPr="00E12436">
        <w:t xml:space="preserve"> had been violated.</w:t>
      </w:r>
    </w:p>
    <w:p w:rsidR="00F26494" w:rsidRPr="00E12436" w:rsidRDefault="00F26494" w:rsidP="00E17BE7">
      <w:pPr>
        <w:spacing w:line="240" w:lineRule="auto"/>
        <w:contextualSpacing/>
        <w:jc w:val="both"/>
      </w:pPr>
    </w:p>
    <w:p w:rsidR="00F26494" w:rsidRPr="00E12436" w:rsidRDefault="008A2C96" w:rsidP="002F5FAE">
      <w:pPr>
        <w:spacing w:line="240" w:lineRule="auto"/>
        <w:contextualSpacing/>
        <w:jc w:val="both"/>
      </w:pPr>
      <w:r w:rsidRPr="00E12436">
        <w:t>As regards</w:t>
      </w:r>
      <w:r w:rsidR="00E44A8A" w:rsidRPr="00E12436">
        <w:t xml:space="preserve"> the complaint under Article 5 § 1</w:t>
      </w:r>
      <w:r w:rsidR="008D23F9" w:rsidRPr="00E12436">
        <w:t xml:space="preserve"> of the Convention</w:t>
      </w:r>
      <w:r w:rsidR="00291204" w:rsidRPr="00E12436">
        <w:t xml:space="preserve">, the Court </w:t>
      </w:r>
      <w:r w:rsidR="0044369B" w:rsidRPr="00E12436">
        <w:t xml:space="preserve">found </w:t>
      </w:r>
      <w:r w:rsidR="008D23F9" w:rsidRPr="00E12436">
        <w:t>that there had been a violation</w:t>
      </w:r>
      <w:r w:rsidR="00734210" w:rsidRPr="00E12436">
        <w:t xml:space="preserve"> of that Article</w:t>
      </w:r>
      <w:r w:rsidR="008D23F9" w:rsidRPr="00E12436">
        <w:t xml:space="preserve"> on account of the lack of reasonable suspicion that </w:t>
      </w:r>
      <w:r w:rsidR="00BD0532" w:rsidRPr="00E12436">
        <w:t xml:space="preserve">the applicant had committed a criminal offence. </w:t>
      </w:r>
      <w:r w:rsidR="00206958" w:rsidRPr="00E12436">
        <w:t xml:space="preserve">The Court </w:t>
      </w:r>
      <w:r w:rsidR="003D1C90" w:rsidRPr="00E12436">
        <w:t xml:space="preserve">first </w:t>
      </w:r>
      <w:r w:rsidR="00206958" w:rsidRPr="00E12436">
        <w:t xml:space="preserve">noted that </w:t>
      </w:r>
      <w:r w:rsidR="003D1C90" w:rsidRPr="00E12436">
        <w:t>thre</w:t>
      </w:r>
      <w:r w:rsidR="008E2220" w:rsidRPr="00E12436">
        <w:t>e</w:t>
      </w:r>
      <w:r w:rsidR="003D1C90" w:rsidRPr="00E12436">
        <w:t xml:space="preserve"> articles cited by the domestic authorities </w:t>
      </w:r>
      <w:r w:rsidR="008E2220" w:rsidRPr="00E12436">
        <w:t xml:space="preserve">in </w:t>
      </w:r>
      <w:r w:rsidR="009008A5" w:rsidRPr="00E12436">
        <w:t>charging the applicant</w:t>
      </w:r>
      <w:r w:rsidR="00C917D9" w:rsidRPr="00E12436">
        <w:t xml:space="preserve"> </w:t>
      </w:r>
      <w:r w:rsidR="003E4705" w:rsidRPr="00E12436">
        <w:t xml:space="preserve">had </w:t>
      </w:r>
      <w:r w:rsidR="00206CCD" w:rsidRPr="00E12436">
        <w:t>‘</w:t>
      </w:r>
      <w:r w:rsidR="00EA3960" w:rsidRPr="00E12436">
        <w:t>contained material which made a significant contribution to the public debate on current affairs in Turkey at the relevant time</w:t>
      </w:r>
      <w:r w:rsidR="00206CCD" w:rsidRPr="00E12436">
        <w:t>’</w:t>
      </w:r>
      <w:r w:rsidR="004A1332" w:rsidRPr="00E12436">
        <w:t xml:space="preserve"> and that </w:t>
      </w:r>
      <w:r w:rsidR="00F42FF4" w:rsidRPr="00E12436">
        <w:t>‘</w:t>
      </w:r>
      <w:r w:rsidR="0088292F" w:rsidRPr="00E12436">
        <w:t>the rights and duties of an investigative journalist included conveying information to the public that was relevant to debates on matters of public interest</w:t>
      </w:r>
      <w:r w:rsidR="007B437A" w:rsidRPr="00E12436">
        <w:t xml:space="preserve">, as Mr </w:t>
      </w:r>
      <w:proofErr w:type="spellStart"/>
      <w:r w:rsidR="007B437A" w:rsidRPr="00E12436">
        <w:t>Şık</w:t>
      </w:r>
      <w:proofErr w:type="spellEnd"/>
      <w:r w:rsidR="007B437A" w:rsidRPr="00E12436">
        <w:t xml:space="preserve"> had done</w:t>
      </w:r>
      <w:r w:rsidR="00F42FF4" w:rsidRPr="00E12436">
        <w:t>’</w:t>
      </w:r>
      <w:r w:rsidR="002E2E3D" w:rsidRPr="00E12436">
        <w:t xml:space="preserve"> (</w:t>
      </w:r>
      <w:proofErr w:type="spellStart"/>
      <w:r w:rsidR="002E2E3D" w:rsidRPr="00E12436">
        <w:t>paras</w:t>
      </w:r>
      <w:proofErr w:type="spellEnd"/>
      <w:r w:rsidR="002E2E3D" w:rsidRPr="00E12436">
        <w:t>. 125-126).</w:t>
      </w:r>
      <w:r w:rsidR="0049516C" w:rsidRPr="00E12436">
        <w:rPr>
          <w:i/>
          <w:iCs/>
        </w:rPr>
        <w:t xml:space="preserve"> </w:t>
      </w:r>
      <w:r w:rsidR="003D40B0" w:rsidRPr="00E12436">
        <w:t xml:space="preserve">Accordingly, the Court </w:t>
      </w:r>
      <w:r w:rsidR="002F5FAE" w:rsidRPr="00E12436">
        <w:t>held that those articles could not constitute grounds for charging the applicant with the criminal acts in question.</w:t>
      </w:r>
      <w:r w:rsidR="00525C33" w:rsidRPr="00E12436">
        <w:t xml:space="preserve"> </w:t>
      </w:r>
      <w:r w:rsidR="00952DA0" w:rsidRPr="00E12436">
        <w:t>Moreover</w:t>
      </w:r>
      <w:r w:rsidR="00AD62A9" w:rsidRPr="00E12436">
        <w:t xml:space="preserve">, the Court </w:t>
      </w:r>
      <w:r w:rsidR="00DC61BC" w:rsidRPr="00E12436">
        <w:t>underlined</w:t>
      </w:r>
      <w:r w:rsidR="00AD62A9" w:rsidRPr="00E12436">
        <w:t xml:space="preserve"> that </w:t>
      </w:r>
      <w:r w:rsidR="007B295B" w:rsidRPr="00E12436">
        <w:t xml:space="preserve">the domestic authorities </w:t>
      </w:r>
      <w:r w:rsidR="00A522F7" w:rsidRPr="00E12436">
        <w:t xml:space="preserve">could not </w:t>
      </w:r>
      <w:r w:rsidR="00952DA0" w:rsidRPr="00E12436">
        <w:t>‘</w:t>
      </w:r>
      <w:r w:rsidR="00F76940" w:rsidRPr="00E12436">
        <w:t>cite any specific facts or information capable of suggesting that the illegal organisations the PKK, FETÖ/PDY and the DHKP/C had issued requests or instructions to the applicant, an investigative journalist, so that he would publish this particular material with the aim of helping to prepare and carry out a campaign of violence or legitimising such violence</w:t>
      </w:r>
      <w:r w:rsidR="00952DA0" w:rsidRPr="00E12436">
        <w:t>’</w:t>
      </w:r>
      <w:r w:rsidR="00A80ABB" w:rsidRPr="00E12436">
        <w:t xml:space="preserve"> (</w:t>
      </w:r>
      <w:proofErr w:type="spellStart"/>
      <w:r w:rsidR="00A80ABB" w:rsidRPr="00E12436">
        <w:t>para</w:t>
      </w:r>
      <w:proofErr w:type="spellEnd"/>
      <w:r w:rsidR="00A80ABB" w:rsidRPr="00E12436">
        <w:t>. 128).</w:t>
      </w:r>
      <w:r w:rsidR="00990F0A" w:rsidRPr="00E12436">
        <w:t xml:space="preserve"> </w:t>
      </w:r>
    </w:p>
    <w:p w:rsidR="00AA7EDE" w:rsidRPr="00E12436" w:rsidRDefault="00AA7EDE" w:rsidP="002F5FAE">
      <w:pPr>
        <w:spacing w:line="240" w:lineRule="auto"/>
        <w:contextualSpacing/>
        <w:jc w:val="both"/>
      </w:pPr>
    </w:p>
    <w:p w:rsidR="006C5173" w:rsidRPr="00E12436" w:rsidRDefault="007B740C" w:rsidP="00021BDD">
      <w:pPr>
        <w:spacing w:line="240" w:lineRule="auto"/>
        <w:contextualSpacing/>
        <w:jc w:val="both"/>
      </w:pPr>
      <w:r w:rsidRPr="00E12436">
        <w:t xml:space="preserve">Furthermore, the Court observed that the published material- the articles and social media posts- </w:t>
      </w:r>
      <w:r w:rsidR="00EC1780" w:rsidRPr="00E12436">
        <w:t xml:space="preserve">grounding the suspicions against the applicant had some characteristics in common. First, </w:t>
      </w:r>
      <w:r w:rsidR="00B942D0" w:rsidRPr="00E12436">
        <w:t xml:space="preserve">they constituted contributions by Mr </w:t>
      </w:r>
      <w:proofErr w:type="spellStart"/>
      <w:r w:rsidR="00B942D0" w:rsidRPr="00E12436">
        <w:t>Şık</w:t>
      </w:r>
      <w:proofErr w:type="spellEnd"/>
      <w:r w:rsidR="00B942D0" w:rsidRPr="00E12436">
        <w:t xml:space="preserve"> to various public debates on matters of general interest that had already been the subject of wide-ranging public debate in Turkey and beyond.</w:t>
      </w:r>
      <w:r w:rsidR="00A64D3D" w:rsidRPr="00E12436">
        <w:t xml:space="preserve"> Second, those articles and posts did not contain any incitement to commit terrorist offences, did not condone the use of violence and did not encourage insurrection against the legitimate authorities.</w:t>
      </w:r>
      <w:r w:rsidR="00BA20EA" w:rsidRPr="00E12436">
        <w:t xml:space="preserve"> Third, </w:t>
      </w:r>
      <w:r w:rsidR="005C7C34" w:rsidRPr="00E12436">
        <w:t xml:space="preserve">the points of view expressed by the applicant itself </w:t>
      </w:r>
      <w:r w:rsidR="00A661D9" w:rsidRPr="00E12436">
        <w:t>in</w:t>
      </w:r>
      <w:r w:rsidR="005C7C34" w:rsidRPr="00E12436">
        <w:t xml:space="preserve"> the articles and posts in </w:t>
      </w:r>
      <w:r w:rsidR="00EC62E0" w:rsidRPr="00E12436">
        <w:t xml:space="preserve">question </w:t>
      </w:r>
      <w:r w:rsidR="004452C4" w:rsidRPr="00E12436">
        <w:t>‘</w:t>
      </w:r>
      <w:r w:rsidR="00EC62E0" w:rsidRPr="00E12436">
        <w:t xml:space="preserve">were broadly </w:t>
      </w:r>
      <w:r w:rsidR="006C5173" w:rsidRPr="00E12436">
        <w:t>ones of opposition to the policies of the government of the day and</w:t>
      </w:r>
      <w:r w:rsidR="002A03DA" w:rsidRPr="00E12436">
        <w:t xml:space="preserve"> </w:t>
      </w:r>
      <w:r w:rsidR="006C5173" w:rsidRPr="00E12436">
        <w:t>corresponded largely</w:t>
      </w:r>
      <w:r w:rsidR="002A03DA" w:rsidRPr="00E12436">
        <w:t xml:space="preserve"> t</w:t>
      </w:r>
      <w:r w:rsidR="006C5173" w:rsidRPr="00E12436">
        <w:t>o those voiced by the opposition political parties and by groups or individuals whose political views were at variance with those of the political authorities.</w:t>
      </w:r>
      <w:r w:rsidR="004452C4" w:rsidRPr="00E12436">
        <w:t>’</w:t>
      </w:r>
      <w:r w:rsidR="00730B15" w:rsidRPr="00E12436">
        <w:rPr>
          <w:i/>
          <w:iCs/>
        </w:rPr>
        <w:t xml:space="preserve"> </w:t>
      </w:r>
      <w:r w:rsidR="00730B15" w:rsidRPr="00E12436">
        <w:t xml:space="preserve">The Court thus held that the applicant’s alleged acts fell within the exercise of his freedom of expression and freedom of the press, as guaranteed by domestic law and by the Convention. </w:t>
      </w:r>
      <w:r w:rsidR="00B54BAC" w:rsidRPr="00E12436">
        <w:t xml:space="preserve">The Court concluded that </w:t>
      </w:r>
      <w:r w:rsidR="00534831" w:rsidRPr="00E12436">
        <w:t>the applicant</w:t>
      </w:r>
      <w:r w:rsidR="00021BDD" w:rsidRPr="00E12436">
        <w:t xml:space="preserve"> could not be reasonably suspected, at the time of his placement in detention, of having committed the offences of disseminating propaganda in favour of terrorist organisations or assisting those organisations.</w:t>
      </w:r>
      <w:r w:rsidR="007111A1" w:rsidRPr="00E12436">
        <w:t xml:space="preserve"> The suspicions against him had not reached the required minimum level of reasonableness</w:t>
      </w:r>
      <w:r w:rsidR="00223E48" w:rsidRPr="00E12436">
        <w:t xml:space="preserve">. </w:t>
      </w:r>
    </w:p>
    <w:p w:rsidR="0057425F" w:rsidRPr="00E12436" w:rsidRDefault="0057425F" w:rsidP="00021BDD">
      <w:pPr>
        <w:spacing w:line="240" w:lineRule="auto"/>
        <w:contextualSpacing/>
        <w:jc w:val="both"/>
      </w:pPr>
    </w:p>
    <w:p w:rsidR="00705D86" w:rsidRPr="00E12436" w:rsidRDefault="006813B5" w:rsidP="00705D86">
      <w:pPr>
        <w:spacing w:line="240" w:lineRule="auto"/>
        <w:contextualSpacing/>
        <w:jc w:val="both"/>
      </w:pPr>
      <w:r w:rsidRPr="00E12436">
        <w:lastRenderedPageBreak/>
        <w:t>W</w:t>
      </w:r>
      <w:r w:rsidR="00705D86" w:rsidRPr="00E12436">
        <w:t>ith regard to Article 15 of the Convention (derogation in time of emergency), the Court noted that</w:t>
      </w:r>
      <w:r w:rsidR="00C53E3C" w:rsidRPr="00E12436">
        <w:t xml:space="preserve"> </w:t>
      </w:r>
      <w:r w:rsidR="00705D86" w:rsidRPr="00E12436">
        <w:t xml:space="preserve">no derogating measure had been applicable to Mr </w:t>
      </w:r>
      <w:proofErr w:type="spellStart"/>
      <w:r w:rsidR="00705D86" w:rsidRPr="00E12436">
        <w:t>Şık’s</w:t>
      </w:r>
      <w:proofErr w:type="spellEnd"/>
      <w:r w:rsidR="00705D86" w:rsidRPr="00E12436">
        <w:t xml:space="preserve"> situation during the period of the state of</w:t>
      </w:r>
      <w:r w:rsidR="00C53E3C" w:rsidRPr="00E12436">
        <w:t xml:space="preserve"> </w:t>
      </w:r>
      <w:r w:rsidR="00705D86" w:rsidRPr="00E12436">
        <w:t>emergency in Turkey.</w:t>
      </w:r>
      <w:r w:rsidR="00C53E3C" w:rsidRPr="00E12436">
        <w:t xml:space="preserve"> </w:t>
      </w:r>
      <w:r w:rsidR="00173675" w:rsidRPr="00E12436">
        <w:t>It then found that there had been a breach of Article 5 § 1 of the Convention.</w:t>
      </w:r>
    </w:p>
    <w:p w:rsidR="00B54BAC" w:rsidRPr="00E12436" w:rsidRDefault="00B54BAC" w:rsidP="006C5173">
      <w:pPr>
        <w:spacing w:line="240" w:lineRule="auto"/>
        <w:contextualSpacing/>
        <w:jc w:val="both"/>
      </w:pPr>
    </w:p>
    <w:p w:rsidR="007B740C" w:rsidRPr="00E12436" w:rsidRDefault="008738AA" w:rsidP="00B942D0">
      <w:pPr>
        <w:spacing w:line="240" w:lineRule="auto"/>
        <w:contextualSpacing/>
        <w:jc w:val="both"/>
      </w:pPr>
      <w:r w:rsidRPr="00E12436">
        <w:t>Regarding the length of the proceedings before the Constitutional Court</w:t>
      </w:r>
      <w:r w:rsidR="00177EB2" w:rsidRPr="00E12436">
        <w:t xml:space="preserve"> under </w:t>
      </w:r>
      <w:r w:rsidR="00177EB2" w:rsidRPr="00E12436">
        <w:rPr>
          <w:b/>
          <w:bCs/>
        </w:rPr>
        <w:t>Article 5 § 4</w:t>
      </w:r>
      <w:r w:rsidRPr="00E12436">
        <w:t>, the Court</w:t>
      </w:r>
      <w:r w:rsidR="003148C5" w:rsidRPr="00E12436">
        <w:t xml:space="preserve"> </w:t>
      </w:r>
      <w:r w:rsidRPr="00E12436">
        <w:t xml:space="preserve">held that the review by the Constitutional Court could not be described as </w:t>
      </w:r>
      <w:r w:rsidR="00EF2602" w:rsidRPr="00E12436">
        <w:t>‘</w:t>
      </w:r>
      <w:r w:rsidRPr="00E12436">
        <w:t>speedy</w:t>
      </w:r>
      <w:r w:rsidR="00EF2602" w:rsidRPr="00E12436">
        <w:t>’</w:t>
      </w:r>
      <w:r w:rsidRPr="00E12436">
        <w:t xml:space="preserve"> in an ordinary context</w:t>
      </w:r>
      <w:r w:rsidR="00EE743F" w:rsidRPr="00E12436">
        <w:t>.</w:t>
      </w:r>
      <w:r w:rsidR="00DA7565" w:rsidRPr="00E12436">
        <w:t xml:space="preserve"> </w:t>
      </w:r>
      <w:r w:rsidR="003B7165" w:rsidRPr="00E12436">
        <w:t xml:space="preserve">The Court noted that the period to be taken </w:t>
      </w:r>
      <w:r w:rsidR="002315CE" w:rsidRPr="00E12436">
        <w:t>consideration</w:t>
      </w:r>
      <w:r w:rsidR="004A7E04" w:rsidRPr="00E12436">
        <w:t xml:space="preserve">, </w:t>
      </w:r>
      <w:r w:rsidR="00B82A17" w:rsidRPr="00E12436">
        <w:t>between the date of his individual application and his release pending trial,</w:t>
      </w:r>
      <w:r w:rsidR="002315CE" w:rsidRPr="00E12436">
        <w:t xml:space="preserve"> lasted for thirteen months and seven days and that it fell within the period of the state of emergency</w:t>
      </w:r>
      <w:r w:rsidR="004A7E04" w:rsidRPr="00E12436">
        <w:t>.</w:t>
      </w:r>
      <w:r w:rsidR="000C041E" w:rsidRPr="00E12436">
        <w:t xml:space="preserve"> The Court, taking into consideration the exceptional caseload of the Constitutional Court during the state of emergency in force from July 2016 to July 2018, the complexity of the case and the fact that the applicant’s pre-trial detention periods had fallen within the state of emergency, found that there had been no violation of </w:t>
      </w:r>
      <w:r w:rsidR="000C041E" w:rsidRPr="00E12436">
        <w:rPr>
          <w:b/>
          <w:bCs/>
        </w:rPr>
        <w:t xml:space="preserve">Article 5 § 4 </w:t>
      </w:r>
      <w:r w:rsidR="000C041E" w:rsidRPr="00E12436">
        <w:t>of the Convention.</w:t>
      </w:r>
    </w:p>
    <w:p w:rsidR="00177EB2" w:rsidRPr="00E12436" w:rsidRDefault="00177EB2" w:rsidP="00B942D0">
      <w:pPr>
        <w:spacing w:line="240" w:lineRule="auto"/>
        <w:contextualSpacing/>
        <w:jc w:val="both"/>
      </w:pPr>
    </w:p>
    <w:p w:rsidR="00B0692E" w:rsidRPr="00E12436" w:rsidRDefault="00177EB2" w:rsidP="00B0692E">
      <w:pPr>
        <w:spacing w:line="240" w:lineRule="auto"/>
        <w:contextualSpacing/>
        <w:jc w:val="both"/>
      </w:pPr>
      <w:r w:rsidRPr="00E12436">
        <w:t xml:space="preserve">As regards the complaint under </w:t>
      </w:r>
      <w:r w:rsidRPr="00E12436">
        <w:rPr>
          <w:b/>
          <w:bCs/>
        </w:rPr>
        <w:t>Article 10</w:t>
      </w:r>
      <w:r w:rsidR="00F404EC" w:rsidRPr="00E12436">
        <w:t xml:space="preserve">, the Court considered that Mr </w:t>
      </w:r>
      <w:proofErr w:type="spellStart"/>
      <w:r w:rsidR="00F404EC" w:rsidRPr="00E12436">
        <w:t>Şık’s</w:t>
      </w:r>
      <w:proofErr w:type="spellEnd"/>
      <w:r w:rsidR="00F404EC" w:rsidRPr="00E12436">
        <w:t xml:space="preserve"> pre-trial detention, in the context of the criminal proceedings against him for offences carrying a heavy penalty and directly linked to his work as a journalist, had amounted to an actual and effective constraint and thus constituted interference with the exercise of his right to freedom of expression</w:t>
      </w:r>
      <w:r w:rsidR="000A28AC" w:rsidRPr="00E12436">
        <w:t>.</w:t>
      </w:r>
      <w:r w:rsidR="000A28AC" w:rsidRPr="00E12436">
        <w:rPr>
          <w:rStyle w:val="DipnotBavurusu"/>
        </w:rPr>
        <w:footnoteReference w:id="9"/>
      </w:r>
      <w:r w:rsidR="002C3CD1" w:rsidRPr="00E12436">
        <w:t xml:space="preserve"> </w:t>
      </w:r>
      <w:r w:rsidR="00B0692E" w:rsidRPr="00E12436">
        <w:t xml:space="preserve">The Court then examined whether this interference was </w:t>
      </w:r>
      <w:r w:rsidR="008D1F53" w:rsidRPr="00E12436">
        <w:t>‘</w:t>
      </w:r>
      <w:r w:rsidR="00B0692E" w:rsidRPr="00E12436">
        <w:t>prescribed by law</w:t>
      </w:r>
      <w:r w:rsidR="008D1F53" w:rsidRPr="00E12436">
        <w:t>’</w:t>
      </w:r>
      <w:r w:rsidR="00B0692E" w:rsidRPr="00E12436">
        <w:t>. In this regard, it first underlined that the applicant</w:t>
      </w:r>
      <w:r w:rsidR="00C65AFD" w:rsidRPr="00E12436">
        <w:t>’s</w:t>
      </w:r>
      <w:r w:rsidR="00B0692E" w:rsidRPr="00E12436">
        <w:t xml:space="preserve"> detention had not been based on reasonable suspicion that </w:t>
      </w:r>
      <w:r w:rsidR="00C65AFD" w:rsidRPr="00E12436">
        <w:t>he</w:t>
      </w:r>
      <w:r w:rsidR="00B0692E" w:rsidRPr="00E12436">
        <w:t xml:space="preserve"> had committed an offence for the purposes of Article 5 § 1 (c) of the Convention, and that there had therefore been a violation of their right to liberty and security under Article 5 § 1. Moreover, the Court underscored that </w:t>
      </w:r>
      <w:r w:rsidR="005F2059" w:rsidRPr="00E12436">
        <w:t>‘</w:t>
      </w:r>
      <w:r w:rsidR="00B0692E" w:rsidRPr="00E12436">
        <w:t>according to Article 100 of the Turkish Code of Criminal Procedure, a person must be placed in pre-trial detention only where there is factual evidence giving rise to strong suspicion that he or she has committed an offence</w:t>
      </w:r>
      <w:r w:rsidR="005F2059" w:rsidRPr="00E12436">
        <w:t>’</w:t>
      </w:r>
      <w:r w:rsidR="00B0692E" w:rsidRPr="00E12436">
        <w:t xml:space="preserve">, and considered in this connection that </w:t>
      </w:r>
      <w:r w:rsidR="005F2059" w:rsidRPr="00E12436">
        <w:t>‘</w:t>
      </w:r>
      <w:r w:rsidR="00B0692E" w:rsidRPr="00E12436">
        <w:t>the absence of reasonable suspicion should, </w:t>
      </w:r>
      <w:r w:rsidR="00B0692E" w:rsidRPr="00E12436">
        <w:rPr>
          <w:i/>
          <w:iCs/>
        </w:rPr>
        <w:t>a fortiori</w:t>
      </w:r>
      <w:r w:rsidR="00B0692E" w:rsidRPr="00E12436">
        <w:t>, have implied an absence of strong suspicion when the national authorities had been called upon to assess the lawfulness of the applicants’ detention</w:t>
      </w:r>
      <w:r w:rsidR="005F2059" w:rsidRPr="00E12436">
        <w:t>’</w:t>
      </w:r>
      <w:r w:rsidR="00B0692E" w:rsidRPr="00E12436">
        <w:t xml:space="preserve"> (</w:t>
      </w:r>
      <w:proofErr w:type="spellStart"/>
      <w:r w:rsidR="00B0692E" w:rsidRPr="00E12436">
        <w:t>para</w:t>
      </w:r>
      <w:proofErr w:type="spellEnd"/>
      <w:r w:rsidR="00B0692E" w:rsidRPr="00E12436">
        <w:t xml:space="preserve">. </w:t>
      </w:r>
      <w:r w:rsidR="006E6E33" w:rsidRPr="00E12436">
        <w:t>186</w:t>
      </w:r>
      <w:r w:rsidR="00B0692E" w:rsidRPr="00E12436">
        <w:t xml:space="preserve">). Accordingly, the </w:t>
      </w:r>
      <w:proofErr w:type="gramStart"/>
      <w:r w:rsidR="00B0692E" w:rsidRPr="00E12436">
        <w:t>Court,</w:t>
      </w:r>
      <w:proofErr w:type="gramEnd"/>
      <w:r w:rsidR="00B0692E" w:rsidRPr="00E12436">
        <w:t xml:space="preserve"> considered that the detention measure in question interfering with the applicant</w:t>
      </w:r>
      <w:r w:rsidR="00C65AFD" w:rsidRPr="00E12436">
        <w:t>’s</w:t>
      </w:r>
      <w:r w:rsidR="00B0692E" w:rsidRPr="00E12436">
        <w:t xml:space="preserve"> rights under Article 10 was not lawful, and that it could not be regarded as a restriction of that freedom prescribed by national law. Thus, the Court found a violation of Article 10.</w:t>
      </w:r>
    </w:p>
    <w:p w:rsidR="00C81948" w:rsidRPr="00E12436" w:rsidRDefault="00C81948" w:rsidP="00B0692E">
      <w:pPr>
        <w:spacing w:line="240" w:lineRule="auto"/>
        <w:contextualSpacing/>
        <w:jc w:val="both"/>
      </w:pPr>
    </w:p>
    <w:p w:rsidR="00C21B70" w:rsidRPr="00E12436" w:rsidRDefault="00F926AB" w:rsidP="00C21B70">
      <w:pPr>
        <w:spacing w:line="240" w:lineRule="auto"/>
        <w:contextualSpacing/>
        <w:jc w:val="both"/>
      </w:pPr>
      <w:r w:rsidRPr="00E12436">
        <w:t xml:space="preserve">As it was the case </w:t>
      </w:r>
      <w:r w:rsidR="00C110EE" w:rsidRPr="00E12436">
        <w:t xml:space="preserve">in </w:t>
      </w:r>
      <w:proofErr w:type="spellStart"/>
      <w:r w:rsidR="00C110EE" w:rsidRPr="00E12436">
        <w:rPr>
          <w:i/>
          <w:iCs/>
        </w:rPr>
        <w:t>Sabuncu</w:t>
      </w:r>
      <w:proofErr w:type="spellEnd"/>
      <w:r w:rsidR="00C110EE" w:rsidRPr="00E12436">
        <w:rPr>
          <w:i/>
          <w:iCs/>
        </w:rPr>
        <w:t xml:space="preserve"> and Others v. Turkey</w:t>
      </w:r>
      <w:r w:rsidR="00C110EE" w:rsidRPr="00E12436">
        <w:t xml:space="preserve">, the Court </w:t>
      </w:r>
      <w:r w:rsidR="00BA5EF7" w:rsidRPr="00E12436">
        <w:t xml:space="preserve">did not find a violation of </w:t>
      </w:r>
      <w:r w:rsidR="00BA5EF7" w:rsidRPr="00E12436">
        <w:rPr>
          <w:b/>
          <w:bCs/>
        </w:rPr>
        <w:t>Article 18</w:t>
      </w:r>
      <w:r w:rsidR="00BA5EF7" w:rsidRPr="00E12436">
        <w:t xml:space="preserve"> in the present case.</w:t>
      </w:r>
      <w:r w:rsidR="00C110EE" w:rsidRPr="00E12436">
        <w:t xml:space="preserve"> </w:t>
      </w:r>
      <w:r w:rsidR="00065C0C" w:rsidRPr="00E12436">
        <w:t>It</w:t>
      </w:r>
      <w:r w:rsidR="00C21B70" w:rsidRPr="00E12436">
        <w:t xml:space="preserve"> referred to the general principles set out in its judgments in </w:t>
      </w:r>
      <w:proofErr w:type="spellStart"/>
      <w:r w:rsidR="00C21B70" w:rsidRPr="00E12436">
        <w:rPr>
          <w:i/>
          <w:iCs/>
        </w:rPr>
        <w:t>Merabishvili</w:t>
      </w:r>
      <w:proofErr w:type="spellEnd"/>
      <w:r w:rsidR="00C21B70" w:rsidRPr="00E12436">
        <w:rPr>
          <w:i/>
          <w:iCs/>
        </w:rPr>
        <w:t xml:space="preserve"> v. Georgia</w:t>
      </w:r>
      <w:r w:rsidR="00C21B70" w:rsidRPr="00E12436">
        <w:rPr>
          <w:i/>
          <w:iCs/>
          <w:vertAlign w:val="superscript"/>
        </w:rPr>
        <w:footnoteReference w:id="10"/>
      </w:r>
      <w:r w:rsidR="00C21B70" w:rsidRPr="00E12436">
        <w:t xml:space="preserve"> and </w:t>
      </w:r>
      <w:proofErr w:type="spellStart"/>
      <w:r w:rsidR="00C21B70" w:rsidRPr="00E12436">
        <w:rPr>
          <w:i/>
          <w:iCs/>
        </w:rPr>
        <w:t>Navalny</w:t>
      </w:r>
      <w:proofErr w:type="spellEnd"/>
      <w:r w:rsidR="00C21B70" w:rsidRPr="00E12436">
        <w:rPr>
          <w:i/>
          <w:iCs/>
        </w:rPr>
        <w:t xml:space="preserve"> v. Russia</w:t>
      </w:r>
      <w:r w:rsidR="00C21B70" w:rsidRPr="00E12436">
        <w:rPr>
          <w:i/>
          <w:iCs/>
          <w:vertAlign w:val="superscript"/>
        </w:rPr>
        <w:footnoteReference w:id="11"/>
      </w:r>
      <w:r w:rsidR="00C21B70" w:rsidRPr="00E12436">
        <w:t>. However, after examining the elements relied on by the applicants in support of violation of Article 18 of the Convention, it held that those elements “taken separately or in combination with each other, [did] not form a sufficiently homogeneous whole for the Court to find that the applicants’ detention had pursued a purpose not prescribed by the Convention and representing a fundamental aspect of the case.”</w:t>
      </w:r>
    </w:p>
    <w:p w:rsidR="004F4C07" w:rsidRPr="00E12436" w:rsidRDefault="004F4C07" w:rsidP="004F4C07">
      <w:pPr>
        <w:spacing w:line="240" w:lineRule="auto"/>
        <w:contextualSpacing/>
      </w:pPr>
    </w:p>
    <w:sectPr w:rsidR="004F4C07" w:rsidRPr="00E12436" w:rsidSect="00B2264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3555E3" w15:done="1"/>
  <w15:commentEx w15:paraId="1F5DA0BD" w15:done="1"/>
  <w15:commentEx w15:paraId="44EE4A01" w15:done="1"/>
  <w15:commentEx w15:paraId="6F4370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7C7B" w16cex:dateUtc="2021-02-26T13:56:00Z"/>
  <w16cex:commentExtensible w16cex:durableId="23E35EC4" w16cex:dateUtc="2021-02-26T11:49:00Z"/>
  <w16cex:commentExtensible w16cex:durableId="23E37B87" w16cex:dateUtc="2021-02-26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3555E3" w16cid:durableId="23E37C7B"/>
  <w16cid:commentId w16cid:paraId="1F5DA0BD" w16cid:durableId="23E35EC4"/>
  <w16cid:commentId w16cid:paraId="44EE4A01" w16cid:durableId="23E35A46"/>
  <w16cid:commentId w16cid:paraId="6F437020" w16cid:durableId="23E37B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D1" w:rsidRDefault="002A69D1" w:rsidP="007A7CD4">
      <w:pPr>
        <w:spacing w:after="0" w:line="240" w:lineRule="auto"/>
      </w:pPr>
      <w:r>
        <w:separator/>
      </w:r>
    </w:p>
  </w:endnote>
  <w:endnote w:type="continuationSeparator" w:id="0">
    <w:p w:rsidR="002A69D1" w:rsidRDefault="002A69D1" w:rsidP="007A7CD4">
      <w:pPr>
        <w:spacing w:after="0" w:line="240" w:lineRule="auto"/>
      </w:pPr>
      <w:r>
        <w:continuationSeparator/>
      </w:r>
    </w:p>
  </w:endnote>
  <w:endnote w:type="continuationNotice" w:id="1">
    <w:p w:rsidR="002A69D1" w:rsidRDefault="002A69D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D1" w:rsidRDefault="002A69D1" w:rsidP="007A7CD4">
      <w:pPr>
        <w:spacing w:after="0" w:line="240" w:lineRule="auto"/>
      </w:pPr>
      <w:r>
        <w:separator/>
      </w:r>
    </w:p>
  </w:footnote>
  <w:footnote w:type="continuationSeparator" w:id="0">
    <w:p w:rsidR="002A69D1" w:rsidRDefault="002A69D1" w:rsidP="007A7CD4">
      <w:pPr>
        <w:spacing w:after="0" w:line="240" w:lineRule="auto"/>
      </w:pPr>
      <w:r>
        <w:continuationSeparator/>
      </w:r>
    </w:p>
  </w:footnote>
  <w:footnote w:type="continuationNotice" w:id="1">
    <w:p w:rsidR="002A69D1" w:rsidRDefault="002A69D1">
      <w:pPr>
        <w:spacing w:after="0" w:line="240" w:lineRule="auto"/>
      </w:pPr>
    </w:p>
  </w:footnote>
  <w:footnote w:id="2">
    <w:p w:rsidR="00965240" w:rsidRPr="00F36BCC" w:rsidRDefault="00965240" w:rsidP="00683B62">
      <w:pPr>
        <w:pStyle w:val="DipnotMetni"/>
      </w:pPr>
      <w:r>
        <w:rPr>
          <w:rStyle w:val="DipnotBavurusu"/>
        </w:rPr>
        <w:footnoteRef/>
      </w:r>
      <w:r>
        <w:t xml:space="preserve"> Third party intervention by the Council of Europe Commissioner for Human Rights in the cases of </w:t>
      </w:r>
      <w:proofErr w:type="spellStart"/>
      <w:r>
        <w:t>Ahmet</w:t>
      </w:r>
      <w:proofErr w:type="spellEnd"/>
      <w:r>
        <w:t xml:space="preserve"> </w:t>
      </w:r>
      <w:proofErr w:type="spellStart"/>
      <w:r>
        <w:t>Hüsrev</w:t>
      </w:r>
      <w:proofErr w:type="spellEnd"/>
      <w:r>
        <w:t xml:space="preserve"> </w:t>
      </w:r>
      <w:proofErr w:type="spellStart"/>
      <w:r>
        <w:t>Altan</w:t>
      </w:r>
      <w:proofErr w:type="spellEnd"/>
      <w:r>
        <w:t xml:space="preserve"> v. Turkey (</w:t>
      </w:r>
      <w:r w:rsidR="00531993">
        <w:t xml:space="preserve">App. </w:t>
      </w:r>
      <w:r>
        <w:t xml:space="preserve">no. 13252/17), </w:t>
      </w:r>
      <w:proofErr w:type="spellStart"/>
      <w:r>
        <w:t>Alpay</w:t>
      </w:r>
      <w:proofErr w:type="spellEnd"/>
      <w:r>
        <w:t xml:space="preserve"> v. Turkey (</w:t>
      </w:r>
      <w:r w:rsidR="00531993">
        <w:t xml:space="preserve">App. </w:t>
      </w:r>
      <w:r>
        <w:t xml:space="preserve">no. 16538/17), </w:t>
      </w:r>
      <w:proofErr w:type="spellStart"/>
      <w:r>
        <w:t>Atilla</w:t>
      </w:r>
      <w:proofErr w:type="spellEnd"/>
      <w:r>
        <w:t xml:space="preserve"> </w:t>
      </w:r>
      <w:proofErr w:type="spellStart"/>
      <w:r>
        <w:t>Taş</w:t>
      </w:r>
      <w:proofErr w:type="spellEnd"/>
      <w:r>
        <w:t xml:space="preserve"> v. Turkey (</w:t>
      </w:r>
      <w:r w:rsidR="00531993">
        <w:t xml:space="preserve">App. </w:t>
      </w:r>
      <w:r>
        <w:t xml:space="preserve">no. 72/17), </w:t>
      </w:r>
      <w:proofErr w:type="spellStart"/>
      <w:r>
        <w:t>Bulaç</w:t>
      </w:r>
      <w:proofErr w:type="spellEnd"/>
      <w:r>
        <w:t xml:space="preserve"> v. Turkey (no. 25939/17), </w:t>
      </w:r>
      <w:proofErr w:type="spellStart"/>
      <w:r>
        <w:t>Ilıcak</w:t>
      </w:r>
      <w:proofErr w:type="spellEnd"/>
      <w:r>
        <w:t xml:space="preserve"> v. Turkey (</w:t>
      </w:r>
      <w:r w:rsidR="00531993">
        <w:t xml:space="preserve">App. </w:t>
      </w:r>
      <w:r>
        <w:t xml:space="preserve">no. 1210/17), </w:t>
      </w:r>
      <w:proofErr w:type="spellStart"/>
      <w:r>
        <w:t>Mehmet</w:t>
      </w:r>
      <w:proofErr w:type="spellEnd"/>
      <w:r>
        <w:t xml:space="preserve"> </w:t>
      </w:r>
      <w:proofErr w:type="spellStart"/>
      <w:r>
        <w:t>Hasan</w:t>
      </w:r>
      <w:proofErr w:type="spellEnd"/>
      <w:r>
        <w:t xml:space="preserve"> </w:t>
      </w:r>
      <w:proofErr w:type="spellStart"/>
      <w:r>
        <w:t>Altan</w:t>
      </w:r>
      <w:proofErr w:type="spellEnd"/>
      <w:r>
        <w:t xml:space="preserve"> v. Turkey (</w:t>
      </w:r>
      <w:r w:rsidR="00531993">
        <w:t xml:space="preserve">App. </w:t>
      </w:r>
      <w:r>
        <w:t>no. 13237/17), Murat Aksoy v. Turkey (</w:t>
      </w:r>
      <w:r w:rsidR="00531993">
        <w:t xml:space="preserve">App. </w:t>
      </w:r>
      <w:r>
        <w:t xml:space="preserve">no. 80/17), </w:t>
      </w:r>
      <w:proofErr w:type="spellStart"/>
      <w:r>
        <w:t>Sabuncu</w:t>
      </w:r>
      <w:proofErr w:type="spellEnd"/>
      <w:r>
        <w:t xml:space="preserve"> and Others v. Turkey (</w:t>
      </w:r>
      <w:r w:rsidR="00531993">
        <w:t xml:space="preserve">App. </w:t>
      </w:r>
      <w:r>
        <w:t xml:space="preserve">no. 23199/17), </w:t>
      </w:r>
      <w:proofErr w:type="spellStart"/>
      <w:r>
        <w:t>Şık</w:t>
      </w:r>
      <w:proofErr w:type="spellEnd"/>
      <w:r>
        <w:t xml:space="preserve"> v. Turkey (</w:t>
      </w:r>
      <w:r w:rsidR="00531993">
        <w:t xml:space="preserve">App. </w:t>
      </w:r>
      <w:r>
        <w:t xml:space="preserve">no. 36493/17), </w:t>
      </w:r>
      <w:proofErr w:type="spellStart"/>
      <w:r>
        <w:t>Yücel</w:t>
      </w:r>
      <w:proofErr w:type="spellEnd"/>
      <w:r>
        <w:t xml:space="preserve"> v. Turkey (</w:t>
      </w:r>
      <w:r w:rsidR="00531993">
        <w:t xml:space="preserve">App. </w:t>
      </w:r>
      <w:r>
        <w:t xml:space="preserve">no. 27684/17): </w:t>
      </w:r>
      <w:hyperlink r:id="rId1" w:history="1">
        <w:r w:rsidRPr="00FB2BD7">
          <w:rPr>
            <w:rStyle w:val="Kpr"/>
          </w:rPr>
          <w:t>https://rm.coe.int/third-party-intervention-10-cases-v-turkey-on-freedom-of-expression-an/168075f48f</w:t>
        </w:r>
      </w:hyperlink>
      <w:r>
        <w:t xml:space="preserve"> </w:t>
      </w:r>
    </w:p>
  </w:footnote>
  <w:footnote w:id="3">
    <w:p w:rsidR="00531993" w:rsidRPr="004E47F8" w:rsidRDefault="00531993">
      <w:pPr>
        <w:pStyle w:val="DipnotMetni"/>
        <w:rPr>
          <w:lang w:val="tr-TR"/>
        </w:rPr>
      </w:pPr>
      <w:r>
        <w:rPr>
          <w:rStyle w:val="DipnotBavurusu"/>
        </w:rPr>
        <w:footnoteRef/>
      </w:r>
      <w:r>
        <w:t xml:space="preserve"> </w:t>
      </w:r>
      <w:r>
        <w:rPr>
          <w:lang w:val="tr-TR"/>
        </w:rPr>
        <w:t xml:space="preserve">Kavala v. Turkey (App. no. </w:t>
      </w:r>
      <w:r w:rsidRPr="00531993">
        <w:t>28749/18</w:t>
      </w:r>
      <w:r>
        <w:t xml:space="preserve">), 10 December 2019, </w:t>
      </w:r>
      <w:r w:rsidRPr="009569A1">
        <w:t xml:space="preserve">see also </w:t>
      </w:r>
      <w:proofErr w:type="spellStart"/>
      <w:r w:rsidRPr="009569A1">
        <w:t>Selahattin</w:t>
      </w:r>
      <w:proofErr w:type="spellEnd"/>
      <w:r w:rsidRPr="009569A1">
        <w:t xml:space="preserve"> </w:t>
      </w:r>
      <w:proofErr w:type="spellStart"/>
      <w:r w:rsidRPr="009569A1">
        <w:t>Demirtaş</w:t>
      </w:r>
      <w:proofErr w:type="spellEnd"/>
      <w:r w:rsidRPr="009569A1">
        <w:t xml:space="preserve"> (no. 2) [GC]</w:t>
      </w:r>
      <w:r w:rsidR="004E47F8" w:rsidRPr="009569A1">
        <w:rPr>
          <w:lang w:val="tr-TR"/>
        </w:rPr>
        <w:t>, 23 December 2020.</w:t>
      </w:r>
    </w:p>
  </w:footnote>
  <w:footnote w:id="4">
    <w:p w:rsidR="00565CDE" w:rsidRPr="00565CDE" w:rsidRDefault="00565CDE">
      <w:pPr>
        <w:pStyle w:val="DipnotMetni"/>
        <w:rPr>
          <w:lang w:val="tr-TR"/>
        </w:rPr>
      </w:pPr>
      <w:r>
        <w:rPr>
          <w:rStyle w:val="DipnotBavurusu"/>
        </w:rPr>
        <w:footnoteRef/>
      </w:r>
      <w:r>
        <w:t xml:space="preserve"> </w:t>
      </w:r>
      <w:proofErr w:type="spellStart"/>
      <w:r w:rsidRPr="00531993">
        <w:rPr>
          <w:i/>
          <w:iCs/>
        </w:rPr>
        <w:t>Cumhuriye</w:t>
      </w:r>
      <w:r>
        <w:rPr>
          <w:i/>
          <w:iCs/>
        </w:rPr>
        <w:t>t</w:t>
      </w:r>
      <w:proofErr w:type="spellEnd"/>
      <w:r>
        <w:rPr>
          <w:i/>
          <w:iCs/>
        </w:rPr>
        <w:t xml:space="preserve"> </w:t>
      </w:r>
      <w:r w:rsidRPr="00531993">
        <w:t>was</w:t>
      </w:r>
      <w:r>
        <w:t xml:space="preserve"> </w:t>
      </w:r>
      <w:r w:rsidRPr="00531993">
        <w:t>established in 1924</w:t>
      </w:r>
      <w:r>
        <w:t xml:space="preserve"> </w:t>
      </w:r>
      <w:r w:rsidRPr="00531993">
        <w:t>and is one of the oldest newspapers in Turkey. It is known for its critical stance towards the current government and for its particular attachment to the principle of secularism. It is regarded as</w:t>
      </w:r>
      <w:r>
        <w:t xml:space="preserve"> </w:t>
      </w:r>
      <w:r w:rsidRPr="00531993">
        <w:t>a</w:t>
      </w:r>
      <w:r>
        <w:t xml:space="preserve"> </w:t>
      </w:r>
      <w:r w:rsidRPr="00531993">
        <w:t>serious newspaper of the centre-left</w:t>
      </w:r>
      <w:r w:rsidR="00472CDE">
        <w:t>.</w:t>
      </w:r>
    </w:p>
  </w:footnote>
  <w:footnote w:id="5">
    <w:p w:rsidR="00965240" w:rsidRPr="00CD6849" w:rsidRDefault="00965240">
      <w:pPr>
        <w:pStyle w:val="DipnotMetni"/>
        <w:rPr>
          <w:lang w:val="tr-TR"/>
        </w:rPr>
      </w:pPr>
      <w:r>
        <w:rPr>
          <w:rStyle w:val="DipnotBavurusu"/>
        </w:rPr>
        <w:footnoteRef/>
      </w:r>
      <w:r>
        <w:t xml:space="preserve"> </w:t>
      </w:r>
      <w:proofErr w:type="spellStart"/>
      <w:proofErr w:type="gramStart"/>
      <w:r w:rsidRPr="00571524">
        <w:rPr>
          <w:i/>
          <w:iCs/>
        </w:rPr>
        <w:t>Şık</w:t>
      </w:r>
      <w:proofErr w:type="spellEnd"/>
      <w:r>
        <w:rPr>
          <w:i/>
          <w:iCs/>
        </w:rPr>
        <w:t xml:space="preserve"> </w:t>
      </w:r>
      <w:r w:rsidRPr="00571524">
        <w:rPr>
          <w:i/>
          <w:iCs/>
        </w:rPr>
        <w:t>v. Turkey</w:t>
      </w:r>
      <w:r w:rsidRPr="00571524">
        <w:t>, no.</w:t>
      </w:r>
      <w:proofErr w:type="gramEnd"/>
      <w:r>
        <w:t xml:space="preserve"> </w:t>
      </w:r>
      <w:hyperlink r:id="rId2" w:anchor="{%22appno%22:[%2253413/11%22]}" w:tgtFrame="_blank" w:history="1">
        <w:r w:rsidRPr="00571524">
          <w:rPr>
            <w:rStyle w:val="Kpr"/>
          </w:rPr>
          <w:t>53413/11</w:t>
        </w:r>
      </w:hyperlink>
      <w:r w:rsidRPr="00571524">
        <w:t>, 8 July 2014</w:t>
      </w:r>
      <w:r>
        <w:t>, paras. 83-85.</w:t>
      </w:r>
    </w:p>
  </w:footnote>
  <w:footnote w:id="6">
    <w:p w:rsidR="00965240" w:rsidRPr="00571524" w:rsidRDefault="00965240">
      <w:pPr>
        <w:pStyle w:val="DipnotMetni"/>
        <w:rPr>
          <w:lang w:val="tr-TR"/>
        </w:rPr>
      </w:pPr>
      <w:r>
        <w:rPr>
          <w:rStyle w:val="DipnotBavurusu"/>
        </w:rPr>
        <w:footnoteRef/>
      </w:r>
      <w:r>
        <w:t xml:space="preserve"> </w:t>
      </w:r>
      <w:proofErr w:type="spellStart"/>
      <w:r w:rsidRPr="00022F8F">
        <w:rPr>
          <w:i/>
          <w:iCs/>
        </w:rPr>
        <w:t>Nedim</w:t>
      </w:r>
      <w:proofErr w:type="spellEnd"/>
      <w:r w:rsidRPr="00022F8F">
        <w:rPr>
          <w:i/>
          <w:iCs/>
        </w:rPr>
        <w:t> </w:t>
      </w:r>
      <w:proofErr w:type="spellStart"/>
      <w:r w:rsidRPr="00022F8F">
        <w:rPr>
          <w:i/>
          <w:iCs/>
        </w:rPr>
        <w:t>Şener</w:t>
      </w:r>
      <w:proofErr w:type="spellEnd"/>
      <w:r w:rsidRPr="00022F8F">
        <w:t> </w:t>
      </w:r>
      <w:r w:rsidRPr="00022F8F">
        <w:rPr>
          <w:i/>
          <w:iCs/>
        </w:rPr>
        <w:t>v. Turkey</w:t>
      </w:r>
      <w:r w:rsidRPr="00022F8F">
        <w:t>, no. </w:t>
      </w:r>
      <w:hyperlink r:id="rId3" w:anchor="{%22appno%22:[%2238270/11%22]}" w:tgtFrame="_blank" w:history="1">
        <w:r w:rsidRPr="00022F8F">
          <w:rPr>
            <w:rStyle w:val="Kpr"/>
          </w:rPr>
          <w:t>38270/11</w:t>
        </w:r>
      </w:hyperlink>
      <w:r>
        <w:t>, 8 July 2014, paras 94-96.</w:t>
      </w:r>
    </w:p>
  </w:footnote>
  <w:footnote w:id="7">
    <w:p w:rsidR="00965240" w:rsidRPr="005B2629" w:rsidRDefault="00965240">
      <w:pPr>
        <w:pStyle w:val="DipnotMetni"/>
        <w:rPr>
          <w:lang w:val="tr-TR"/>
        </w:rPr>
      </w:pPr>
      <w:r>
        <w:rPr>
          <w:rStyle w:val="DipnotBavurusu"/>
        </w:rPr>
        <w:footnoteRef/>
      </w:r>
      <w:r>
        <w:t xml:space="preserve"> </w:t>
      </w:r>
      <w:r w:rsidR="00D83478" w:rsidRPr="00D83478">
        <w:rPr>
          <w:i/>
          <w:iCs/>
        </w:rPr>
        <w:t>Merabishvili v. Georgia </w:t>
      </w:r>
      <w:r w:rsidR="00D83478" w:rsidRPr="00D83478">
        <w:t>[GC]</w:t>
      </w:r>
      <w:r w:rsidR="00D83478">
        <w:t xml:space="preserve"> (App.</w:t>
      </w:r>
      <w:r w:rsidR="00D83478" w:rsidRPr="00D83478">
        <w:t xml:space="preserve"> no.</w:t>
      </w:r>
      <w:r w:rsidR="00D83478">
        <w:t>)</w:t>
      </w:r>
      <w:r w:rsidR="00D83478" w:rsidRPr="00D83478">
        <w:t> 72508/13, 28 November 201</w:t>
      </w:r>
      <w:r w:rsidR="00D83478">
        <w:t>7</w:t>
      </w:r>
      <w:r w:rsidR="008D5F6A">
        <w:t xml:space="preserve">, paras </w:t>
      </w:r>
      <w:r w:rsidR="008D5F6A" w:rsidRPr="008D5F6A">
        <w:t>287</w:t>
      </w:r>
      <w:r w:rsidR="008D5F6A" w:rsidRPr="008D5F6A">
        <w:rPr>
          <w:rFonts w:ascii="Cambria Math" w:hAnsi="Cambria Math" w:cs="Cambria Math"/>
        </w:rPr>
        <w:t>‑</w:t>
      </w:r>
      <w:r w:rsidR="008D5F6A" w:rsidRPr="008D5F6A">
        <w:t>317</w:t>
      </w:r>
      <w:r w:rsidR="00CC4DB0">
        <w:t>.</w:t>
      </w:r>
    </w:p>
  </w:footnote>
  <w:footnote w:id="8">
    <w:p w:rsidR="00965240" w:rsidRPr="005B2629" w:rsidRDefault="00965240">
      <w:pPr>
        <w:pStyle w:val="DipnotMetni"/>
        <w:rPr>
          <w:lang w:val="tr-TR"/>
        </w:rPr>
      </w:pPr>
      <w:r>
        <w:rPr>
          <w:rStyle w:val="DipnotBavurusu"/>
        </w:rPr>
        <w:footnoteRef/>
      </w:r>
      <w:r>
        <w:t xml:space="preserve"> </w:t>
      </w:r>
      <w:proofErr w:type="spellStart"/>
      <w:r w:rsidR="00CC4DB0" w:rsidRPr="00CC4DB0">
        <w:t>Navalnyy</w:t>
      </w:r>
      <w:proofErr w:type="spellEnd"/>
      <w:r w:rsidR="00CC4DB0" w:rsidRPr="00CC4DB0">
        <w:t xml:space="preserve"> v. Russia ([GC], </w:t>
      </w:r>
      <w:r w:rsidR="00CC4DB0">
        <w:t xml:space="preserve">(App. no. </w:t>
      </w:r>
      <w:r w:rsidR="00CC4DB0" w:rsidRPr="00CC4DB0">
        <w:t>29580/12 and 4 others</w:t>
      </w:r>
      <w:r w:rsidR="00CC4DB0">
        <w:t>)</w:t>
      </w:r>
      <w:r w:rsidR="00CC4DB0" w:rsidRPr="00CC4DB0">
        <w:t>, 15 November 2018</w:t>
      </w:r>
      <w:r w:rsidR="008D5F6A">
        <w:t>, paras. 164-165</w:t>
      </w:r>
      <w:r w:rsidR="00CC4DB0">
        <w:t>.</w:t>
      </w:r>
    </w:p>
  </w:footnote>
  <w:footnote w:id="9">
    <w:p w:rsidR="00965240" w:rsidRPr="000A28AC" w:rsidRDefault="00965240">
      <w:pPr>
        <w:pStyle w:val="DipnotMetni"/>
        <w:rPr>
          <w:lang w:val="tr-TR"/>
        </w:rPr>
      </w:pPr>
      <w:r>
        <w:rPr>
          <w:rStyle w:val="DipnotBavurusu"/>
        </w:rPr>
        <w:footnoteRef/>
      </w:r>
      <w:r>
        <w:t xml:space="preserve"> </w:t>
      </w:r>
      <w:r>
        <w:rPr>
          <w:lang w:val="tr-TR"/>
        </w:rPr>
        <w:t xml:space="preserve">See </w:t>
      </w:r>
      <w:r w:rsidRPr="000A28AC">
        <w:rPr>
          <w:i/>
          <w:iCs/>
          <w:lang w:val="tr-TR"/>
        </w:rPr>
        <w:t>supra</w:t>
      </w:r>
      <w:r>
        <w:rPr>
          <w:lang w:val="tr-TR"/>
        </w:rPr>
        <w:t xml:space="preserve"> note </w:t>
      </w:r>
      <w:r w:rsidR="00A14E3C">
        <w:rPr>
          <w:lang w:val="tr-TR"/>
        </w:rPr>
        <w:t>3</w:t>
      </w:r>
      <w:r>
        <w:rPr>
          <w:lang w:val="tr-TR"/>
        </w:rPr>
        <w:t xml:space="preserve"> and </w:t>
      </w:r>
      <w:r w:rsidR="00A14E3C">
        <w:rPr>
          <w:lang w:val="tr-TR"/>
        </w:rPr>
        <w:t>4</w:t>
      </w:r>
      <w:r>
        <w:rPr>
          <w:lang w:val="tr-TR"/>
        </w:rPr>
        <w:t>.</w:t>
      </w:r>
    </w:p>
  </w:footnote>
  <w:footnote w:id="10">
    <w:p w:rsidR="00965240" w:rsidRPr="00CC4DB0" w:rsidRDefault="00965240" w:rsidP="00CC4DB0">
      <w:pPr>
        <w:pStyle w:val="DipnotMetni"/>
      </w:pPr>
      <w:r>
        <w:rPr>
          <w:rStyle w:val="DipnotBavurusu"/>
        </w:rPr>
        <w:footnoteRef/>
      </w:r>
      <w:r>
        <w:t xml:space="preserve"> </w:t>
      </w:r>
      <w:r w:rsidR="00CC4DB0" w:rsidRPr="00CC4DB0">
        <w:rPr>
          <w:i/>
          <w:iCs/>
        </w:rPr>
        <w:t>Merabishvili v. Georgia</w:t>
      </w:r>
      <w:r w:rsidR="00CC4DB0">
        <w:t xml:space="preserve"> [GC] (App. no.) 72508/13, 28 November 2017</w:t>
      </w:r>
      <w:r w:rsidR="008D5F6A">
        <w:t xml:space="preserve">, paras. </w:t>
      </w:r>
      <w:r w:rsidR="008D5F6A" w:rsidRPr="008D5F6A">
        <w:t>287</w:t>
      </w:r>
      <w:r w:rsidR="008D5F6A" w:rsidRPr="008D5F6A">
        <w:rPr>
          <w:rFonts w:ascii="Cambria Math" w:hAnsi="Cambria Math" w:cs="Cambria Math"/>
        </w:rPr>
        <w:t>‑</w:t>
      </w:r>
      <w:r w:rsidR="008D5F6A" w:rsidRPr="008D5F6A">
        <w:t>317</w:t>
      </w:r>
      <w:r w:rsidR="008D5F6A">
        <w:t>.</w:t>
      </w:r>
    </w:p>
  </w:footnote>
  <w:footnote w:id="11">
    <w:p w:rsidR="00CC4DB0" w:rsidRPr="00CC4DB0" w:rsidRDefault="00965240" w:rsidP="00CC4DB0">
      <w:pPr>
        <w:pStyle w:val="DipnotMetni"/>
      </w:pPr>
      <w:r>
        <w:rPr>
          <w:rStyle w:val="DipnotBavurusu"/>
        </w:rPr>
        <w:footnoteRef/>
      </w:r>
      <w:r>
        <w:t xml:space="preserve"> </w:t>
      </w:r>
      <w:r w:rsidR="00CC4DB0" w:rsidRPr="00CC4DB0">
        <w:rPr>
          <w:i/>
          <w:iCs/>
        </w:rPr>
        <w:t>Navalny v. Russia</w:t>
      </w:r>
      <w:r w:rsidR="00CC4DB0">
        <w:t xml:space="preserve"> ([GC], (App. no. 29580/12 and 4 others), 15 November 2018</w:t>
      </w:r>
      <w:r w:rsidR="008D5F6A">
        <w:t>, paras. 164-165.</w:t>
      </w:r>
    </w:p>
    <w:p w:rsidR="00965240" w:rsidRPr="00CC4DB0" w:rsidRDefault="00965240" w:rsidP="00C21B70">
      <w:pPr>
        <w:pStyle w:val="DipnotMetni"/>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 Leach">
    <w15:presenceInfo w15:providerId="Windows Live" w15:userId="ec71f72e18ea6a26"/>
  </w15:person>
  <w15:person w15:author="Beril Onder">
    <w15:presenceInfo w15:providerId="Windows Live" w15:userId="6415c2ae14b3f8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rsids>
    <w:rsidRoot w:val="004F4C07"/>
    <w:rsid w:val="00000A45"/>
    <w:rsid w:val="00004B2B"/>
    <w:rsid w:val="00005611"/>
    <w:rsid w:val="00012196"/>
    <w:rsid w:val="00012C05"/>
    <w:rsid w:val="00021BDD"/>
    <w:rsid w:val="00022362"/>
    <w:rsid w:val="00022F8F"/>
    <w:rsid w:val="00027083"/>
    <w:rsid w:val="00032B9A"/>
    <w:rsid w:val="000441FA"/>
    <w:rsid w:val="00064E9D"/>
    <w:rsid w:val="00065C0C"/>
    <w:rsid w:val="0007646C"/>
    <w:rsid w:val="00083139"/>
    <w:rsid w:val="0009238D"/>
    <w:rsid w:val="00095911"/>
    <w:rsid w:val="00096D55"/>
    <w:rsid w:val="000A28AC"/>
    <w:rsid w:val="000A3439"/>
    <w:rsid w:val="000A73A1"/>
    <w:rsid w:val="000B243F"/>
    <w:rsid w:val="000C041E"/>
    <w:rsid w:val="000C127D"/>
    <w:rsid w:val="000C1F02"/>
    <w:rsid w:val="000C31AE"/>
    <w:rsid w:val="000D554F"/>
    <w:rsid w:val="000E1A34"/>
    <w:rsid w:val="000E4D2A"/>
    <w:rsid w:val="000E69C1"/>
    <w:rsid w:val="000F1E31"/>
    <w:rsid w:val="000F7FFE"/>
    <w:rsid w:val="001020D9"/>
    <w:rsid w:val="00112500"/>
    <w:rsid w:val="001137E5"/>
    <w:rsid w:val="00113FCD"/>
    <w:rsid w:val="001205BA"/>
    <w:rsid w:val="00121A73"/>
    <w:rsid w:val="00122439"/>
    <w:rsid w:val="00122FC7"/>
    <w:rsid w:val="00124E52"/>
    <w:rsid w:val="001264F7"/>
    <w:rsid w:val="00135606"/>
    <w:rsid w:val="001502A1"/>
    <w:rsid w:val="001536D2"/>
    <w:rsid w:val="00173675"/>
    <w:rsid w:val="00177EB2"/>
    <w:rsid w:val="0019690A"/>
    <w:rsid w:val="001A09BF"/>
    <w:rsid w:val="001A13E7"/>
    <w:rsid w:val="001A4067"/>
    <w:rsid w:val="001B61B5"/>
    <w:rsid w:val="001B6C87"/>
    <w:rsid w:val="001C35B5"/>
    <w:rsid w:val="001C52CD"/>
    <w:rsid w:val="001C605D"/>
    <w:rsid w:val="001D1830"/>
    <w:rsid w:val="001D39A3"/>
    <w:rsid w:val="001D5F15"/>
    <w:rsid w:val="001D7A1B"/>
    <w:rsid w:val="001F3C29"/>
    <w:rsid w:val="001F5626"/>
    <w:rsid w:val="00201876"/>
    <w:rsid w:val="002063DF"/>
    <w:rsid w:val="002064D0"/>
    <w:rsid w:val="00206958"/>
    <w:rsid w:val="00206CCD"/>
    <w:rsid w:val="002105F6"/>
    <w:rsid w:val="00223E48"/>
    <w:rsid w:val="002252E7"/>
    <w:rsid w:val="00226FC9"/>
    <w:rsid w:val="002315CE"/>
    <w:rsid w:val="00236C63"/>
    <w:rsid w:val="0024070A"/>
    <w:rsid w:val="002418E4"/>
    <w:rsid w:val="00245FBD"/>
    <w:rsid w:val="00246F3E"/>
    <w:rsid w:val="00256680"/>
    <w:rsid w:val="00262802"/>
    <w:rsid w:val="00264D47"/>
    <w:rsid w:val="002673DC"/>
    <w:rsid w:val="00267B1C"/>
    <w:rsid w:val="002713FA"/>
    <w:rsid w:val="0028045D"/>
    <w:rsid w:val="00282654"/>
    <w:rsid w:val="002903B1"/>
    <w:rsid w:val="00291204"/>
    <w:rsid w:val="00297402"/>
    <w:rsid w:val="002A03DA"/>
    <w:rsid w:val="002A5AD6"/>
    <w:rsid w:val="002A69D1"/>
    <w:rsid w:val="002A6BF7"/>
    <w:rsid w:val="002B7D95"/>
    <w:rsid w:val="002C3BB9"/>
    <w:rsid w:val="002C3CD1"/>
    <w:rsid w:val="002D33C1"/>
    <w:rsid w:val="002D39D5"/>
    <w:rsid w:val="002D5EB2"/>
    <w:rsid w:val="002D67B9"/>
    <w:rsid w:val="002E2586"/>
    <w:rsid w:val="002E2E3D"/>
    <w:rsid w:val="002E5578"/>
    <w:rsid w:val="002E63E8"/>
    <w:rsid w:val="002E795E"/>
    <w:rsid w:val="002F4D79"/>
    <w:rsid w:val="002F5FAE"/>
    <w:rsid w:val="002F6E92"/>
    <w:rsid w:val="00303A8C"/>
    <w:rsid w:val="003129B2"/>
    <w:rsid w:val="003148C5"/>
    <w:rsid w:val="00332D10"/>
    <w:rsid w:val="00340718"/>
    <w:rsid w:val="00345FA2"/>
    <w:rsid w:val="003525E2"/>
    <w:rsid w:val="0035585B"/>
    <w:rsid w:val="003713D4"/>
    <w:rsid w:val="00373F86"/>
    <w:rsid w:val="00384680"/>
    <w:rsid w:val="00390ADB"/>
    <w:rsid w:val="0039370F"/>
    <w:rsid w:val="00393859"/>
    <w:rsid w:val="003965AE"/>
    <w:rsid w:val="00396980"/>
    <w:rsid w:val="003A3080"/>
    <w:rsid w:val="003A48C9"/>
    <w:rsid w:val="003B13DD"/>
    <w:rsid w:val="003B2A64"/>
    <w:rsid w:val="003B7165"/>
    <w:rsid w:val="003C14CF"/>
    <w:rsid w:val="003C37D4"/>
    <w:rsid w:val="003D1C90"/>
    <w:rsid w:val="003D2199"/>
    <w:rsid w:val="003D40B0"/>
    <w:rsid w:val="003D43EF"/>
    <w:rsid w:val="003D4C6E"/>
    <w:rsid w:val="003D51F0"/>
    <w:rsid w:val="003E0FB3"/>
    <w:rsid w:val="003E4705"/>
    <w:rsid w:val="003E6504"/>
    <w:rsid w:val="003F0E43"/>
    <w:rsid w:val="003F4047"/>
    <w:rsid w:val="003F7C39"/>
    <w:rsid w:val="004005E5"/>
    <w:rsid w:val="00400769"/>
    <w:rsid w:val="004170EF"/>
    <w:rsid w:val="00417B1C"/>
    <w:rsid w:val="00417D49"/>
    <w:rsid w:val="00421C25"/>
    <w:rsid w:val="00426E52"/>
    <w:rsid w:val="00432348"/>
    <w:rsid w:val="00436B44"/>
    <w:rsid w:val="00440DD1"/>
    <w:rsid w:val="0044369B"/>
    <w:rsid w:val="004446ED"/>
    <w:rsid w:val="004452C4"/>
    <w:rsid w:val="00451B82"/>
    <w:rsid w:val="00454A36"/>
    <w:rsid w:val="00457558"/>
    <w:rsid w:val="00472CBE"/>
    <w:rsid w:val="00472CDE"/>
    <w:rsid w:val="0047473D"/>
    <w:rsid w:val="0047635E"/>
    <w:rsid w:val="004779AF"/>
    <w:rsid w:val="004843C9"/>
    <w:rsid w:val="00491A13"/>
    <w:rsid w:val="0049516C"/>
    <w:rsid w:val="004A1332"/>
    <w:rsid w:val="004A3721"/>
    <w:rsid w:val="004A6D0B"/>
    <w:rsid w:val="004A7020"/>
    <w:rsid w:val="004A7E04"/>
    <w:rsid w:val="004B6EB1"/>
    <w:rsid w:val="004B7D88"/>
    <w:rsid w:val="004C0E78"/>
    <w:rsid w:val="004C31B0"/>
    <w:rsid w:val="004C3ED9"/>
    <w:rsid w:val="004D0238"/>
    <w:rsid w:val="004D38F2"/>
    <w:rsid w:val="004D536B"/>
    <w:rsid w:val="004E241B"/>
    <w:rsid w:val="004E266C"/>
    <w:rsid w:val="004E47F8"/>
    <w:rsid w:val="004E4ED9"/>
    <w:rsid w:val="004E6BF6"/>
    <w:rsid w:val="004F4C07"/>
    <w:rsid w:val="004F6C01"/>
    <w:rsid w:val="004F77B3"/>
    <w:rsid w:val="0050466C"/>
    <w:rsid w:val="00506E58"/>
    <w:rsid w:val="00507DA9"/>
    <w:rsid w:val="00513E4E"/>
    <w:rsid w:val="0051658D"/>
    <w:rsid w:val="00520D4E"/>
    <w:rsid w:val="00523D06"/>
    <w:rsid w:val="00525C33"/>
    <w:rsid w:val="00531993"/>
    <w:rsid w:val="00534831"/>
    <w:rsid w:val="005419E7"/>
    <w:rsid w:val="005425C5"/>
    <w:rsid w:val="005606DD"/>
    <w:rsid w:val="00564F26"/>
    <w:rsid w:val="00565CDE"/>
    <w:rsid w:val="00566D0D"/>
    <w:rsid w:val="00571524"/>
    <w:rsid w:val="00571B12"/>
    <w:rsid w:val="005740BD"/>
    <w:rsid w:val="0057425F"/>
    <w:rsid w:val="00576890"/>
    <w:rsid w:val="00580B75"/>
    <w:rsid w:val="00587814"/>
    <w:rsid w:val="0059443D"/>
    <w:rsid w:val="00594CBF"/>
    <w:rsid w:val="0059579C"/>
    <w:rsid w:val="00595F20"/>
    <w:rsid w:val="005A31DA"/>
    <w:rsid w:val="005A3442"/>
    <w:rsid w:val="005B1F5B"/>
    <w:rsid w:val="005B2629"/>
    <w:rsid w:val="005B71A6"/>
    <w:rsid w:val="005C1C63"/>
    <w:rsid w:val="005C3D73"/>
    <w:rsid w:val="005C7C34"/>
    <w:rsid w:val="005D1DDE"/>
    <w:rsid w:val="005D4487"/>
    <w:rsid w:val="005D7877"/>
    <w:rsid w:val="005E413E"/>
    <w:rsid w:val="005F0FCD"/>
    <w:rsid w:val="005F2059"/>
    <w:rsid w:val="005F20B7"/>
    <w:rsid w:val="005F3644"/>
    <w:rsid w:val="005F3DF4"/>
    <w:rsid w:val="00600F0F"/>
    <w:rsid w:val="00601790"/>
    <w:rsid w:val="006060DB"/>
    <w:rsid w:val="006064E0"/>
    <w:rsid w:val="00621FA0"/>
    <w:rsid w:val="00622D02"/>
    <w:rsid w:val="0062684F"/>
    <w:rsid w:val="00633C22"/>
    <w:rsid w:val="00640902"/>
    <w:rsid w:val="006441E2"/>
    <w:rsid w:val="00644953"/>
    <w:rsid w:val="00644C63"/>
    <w:rsid w:val="00645EFC"/>
    <w:rsid w:val="00651414"/>
    <w:rsid w:val="006605D6"/>
    <w:rsid w:val="006612A3"/>
    <w:rsid w:val="006656E3"/>
    <w:rsid w:val="006676DD"/>
    <w:rsid w:val="00670BFF"/>
    <w:rsid w:val="0067490F"/>
    <w:rsid w:val="006813B5"/>
    <w:rsid w:val="00683B62"/>
    <w:rsid w:val="0068650C"/>
    <w:rsid w:val="006919D9"/>
    <w:rsid w:val="0069295E"/>
    <w:rsid w:val="0069650C"/>
    <w:rsid w:val="006A1771"/>
    <w:rsid w:val="006A2563"/>
    <w:rsid w:val="006A3392"/>
    <w:rsid w:val="006B0D93"/>
    <w:rsid w:val="006B7EE5"/>
    <w:rsid w:val="006C05CA"/>
    <w:rsid w:val="006C401C"/>
    <w:rsid w:val="006C5173"/>
    <w:rsid w:val="006C737D"/>
    <w:rsid w:val="006D6E74"/>
    <w:rsid w:val="006D77F2"/>
    <w:rsid w:val="006E29BF"/>
    <w:rsid w:val="006E578A"/>
    <w:rsid w:val="006E6E33"/>
    <w:rsid w:val="006F12C7"/>
    <w:rsid w:val="006F1C39"/>
    <w:rsid w:val="00705D86"/>
    <w:rsid w:val="007111A1"/>
    <w:rsid w:val="00726FCB"/>
    <w:rsid w:val="00730B15"/>
    <w:rsid w:val="007322A2"/>
    <w:rsid w:val="00733EC5"/>
    <w:rsid w:val="00734210"/>
    <w:rsid w:val="00750285"/>
    <w:rsid w:val="007511DF"/>
    <w:rsid w:val="00751E6F"/>
    <w:rsid w:val="00753D93"/>
    <w:rsid w:val="00757FFB"/>
    <w:rsid w:val="007610BF"/>
    <w:rsid w:val="00762F00"/>
    <w:rsid w:val="00764789"/>
    <w:rsid w:val="00764FEB"/>
    <w:rsid w:val="00772E7C"/>
    <w:rsid w:val="00773C31"/>
    <w:rsid w:val="00783CAC"/>
    <w:rsid w:val="00797578"/>
    <w:rsid w:val="007A1201"/>
    <w:rsid w:val="007A65E9"/>
    <w:rsid w:val="007A6C1D"/>
    <w:rsid w:val="007A7CD4"/>
    <w:rsid w:val="007B295B"/>
    <w:rsid w:val="007B3894"/>
    <w:rsid w:val="007B437A"/>
    <w:rsid w:val="007B740C"/>
    <w:rsid w:val="007C010E"/>
    <w:rsid w:val="007C6BEE"/>
    <w:rsid w:val="007D16D5"/>
    <w:rsid w:val="007E3A23"/>
    <w:rsid w:val="007E3CEE"/>
    <w:rsid w:val="007F5277"/>
    <w:rsid w:val="007F75E4"/>
    <w:rsid w:val="0080037C"/>
    <w:rsid w:val="00801465"/>
    <w:rsid w:val="00803114"/>
    <w:rsid w:val="0080636D"/>
    <w:rsid w:val="00807CD2"/>
    <w:rsid w:val="00813EE3"/>
    <w:rsid w:val="00816317"/>
    <w:rsid w:val="00826C3D"/>
    <w:rsid w:val="00827B05"/>
    <w:rsid w:val="0083248E"/>
    <w:rsid w:val="008409D2"/>
    <w:rsid w:val="00840D64"/>
    <w:rsid w:val="00842F68"/>
    <w:rsid w:val="00845A32"/>
    <w:rsid w:val="008474B1"/>
    <w:rsid w:val="00855218"/>
    <w:rsid w:val="00861498"/>
    <w:rsid w:val="00872F7B"/>
    <w:rsid w:val="008738AA"/>
    <w:rsid w:val="008762BE"/>
    <w:rsid w:val="00880E10"/>
    <w:rsid w:val="008826C5"/>
    <w:rsid w:val="0088292F"/>
    <w:rsid w:val="00887B8C"/>
    <w:rsid w:val="00887CD9"/>
    <w:rsid w:val="00893F48"/>
    <w:rsid w:val="00897F9D"/>
    <w:rsid w:val="008A13A0"/>
    <w:rsid w:val="008A2B11"/>
    <w:rsid w:val="008A2C96"/>
    <w:rsid w:val="008B48FD"/>
    <w:rsid w:val="008B5465"/>
    <w:rsid w:val="008B67D9"/>
    <w:rsid w:val="008D0CCA"/>
    <w:rsid w:val="008D1F53"/>
    <w:rsid w:val="008D23F9"/>
    <w:rsid w:val="008D5F6A"/>
    <w:rsid w:val="008D68A8"/>
    <w:rsid w:val="008E2220"/>
    <w:rsid w:val="008E2E88"/>
    <w:rsid w:val="008F0848"/>
    <w:rsid w:val="008F261C"/>
    <w:rsid w:val="008F5954"/>
    <w:rsid w:val="008F72B5"/>
    <w:rsid w:val="009008A5"/>
    <w:rsid w:val="00902C0D"/>
    <w:rsid w:val="00903DF6"/>
    <w:rsid w:val="00904F5E"/>
    <w:rsid w:val="00905041"/>
    <w:rsid w:val="009064FD"/>
    <w:rsid w:val="00911CEA"/>
    <w:rsid w:val="00917017"/>
    <w:rsid w:val="00930655"/>
    <w:rsid w:val="00942986"/>
    <w:rsid w:val="00942EFA"/>
    <w:rsid w:val="00952DA0"/>
    <w:rsid w:val="00955F4D"/>
    <w:rsid w:val="009569A1"/>
    <w:rsid w:val="009625DF"/>
    <w:rsid w:val="009642BE"/>
    <w:rsid w:val="00965240"/>
    <w:rsid w:val="00965745"/>
    <w:rsid w:val="0096757B"/>
    <w:rsid w:val="00975304"/>
    <w:rsid w:val="0098711A"/>
    <w:rsid w:val="00990F0A"/>
    <w:rsid w:val="00994DCE"/>
    <w:rsid w:val="00995542"/>
    <w:rsid w:val="00997DA3"/>
    <w:rsid w:val="00997FBF"/>
    <w:rsid w:val="009A5D18"/>
    <w:rsid w:val="009B08C9"/>
    <w:rsid w:val="009B115D"/>
    <w:rsid w:val="009B2CC6"/>
    <w:rsid w:val="009B5EBE"/>
    <w:rsid w:val="009B7D3C"/>
    <w:rsid w:val="009C3A08"/>
    <w:rsid w:val="009D0464"/>
    <w:rsid w:val="009D41E0"/>
    <w:rsid w:val="009D4330"/>
    <w:rsid w:val="009E0766"/>
    <w:rsid w:val="009E116B"/>
    <w:rsid w:val="009E1439"/>
    <w:rsid w:val="009E2C78"/>
    <w:rsid w:val="009E3441"/>
    <w:rsid w:val="009E55B5"/>
    <w:rsid w:val="009F1DA7"/>
    <w:rsid w:val="00A007F2"/>
    <w:rsid w:val="00A0112C"/>
    <w:rsid w:val="00A06E90"/>
    <w:rsid w:val="00A1397C"/>
    <w:rsid w:val="00A142DA"/>
    <w:rsid w:val="00A148FB"/>
    <w:rsid w:val="00A14E3C"/>
    <w:rsid w:val="00A15850"/>
    <w:rsid w:val="00A15FA0"/>
    <w:rsid w:val="00A16EE5"/>
    <w:rsid w:val="00A4096B"/>
    <w:rsid w:val="00A428E7"/>
    <w:rsid w:val="00A44B40"/>
    <w:rsid w:val="00A51595"/>
    <w:rsid w:val="00A5174B"/>
    <w:rsid w:val="00A522F7"/>
    <w:rsid w:val="00A530A7"/>
    <w:rsid w:val="00A6485C"/>
    <w:rsid w:val="00A64D3D"/>
    <w:rsid w:val="00A650AA"/>
    <w:rsid w:val="00A661D9"/>
    <w:rsid w:val="00A662B0"/>
    <w:rsid w:val="00A6645E"/>
    <w:rsid w:val="00A67445"/>
    <w:rsid w:val="00A73930"/>
    <w:rsid w:val="00A756C1"/>
    <w:rsid w:val="00A77204"/>
    <w:rsid w:val="00A77E3D"/>
    <w:rsid w:val="00A77EC6"/>
    <w:rsid w:val="00A80ABB"/>
    <w:rsid w:val="00A848A9"/>
    <w:rsid w:val="00A86F19"/>
    <w:rsid w:val="00A92EE0"/>
    <w:rsid w:val="00A97B6D"/>
    <w:rsid w:val="00AA4B23"/>
    <w:rsid w:val="00AA51CB"/>
    <w:rsid w:val="00AA7EDE"/>
    <w:rsid w:val="00AC2558"/>
    <w:rsid w:val="00AC509D"/>
    <w:rsid w:val="00AC5C9E"/>
    <w:rsid w:val="00AD1924"/>
    <w:rsid w:val="00AD47C0"/>
    <w:rsid w:val="00AD62A9"/>
    <w:rsid w:val="00AE0E1D"/>
    <w:rsid w:val="00AE1AC1"/>
    <w:rsid w:val="00AF30A1"/>
    <w:rsid w:val="00AF3B2B"/>
    <w:rsid w:val="00AF489E"/>
    <w:rsid w:val="00B026BF"/>
    <w:rsid w:val="00B05016"/>
    <w:rsid w:val="00B0561A"/>
    <w:rsid w:val="00B0585C"/>
    <w:rsid w:val="00B0692E"/>
    <w:rsid w:val="00B124CB"/>
    <w:rsid w:val="00B12FF3"/>
    <w:rsid w:val="00B22646"/>
    <w:rsid w:val="00B23519"/>
    <w:rsid w:val="00B259C3"/>
    <w:rsid w:val="00B33FF1"/>
    <w:rsid w:val="00B43C03"/>
    <w:rsid w:val="00B44014"/>
    <w:rsid w:val="00B45858"/>
    <w:rsid w:val="00B51018"/>
    <w:rsid w:val="00B54BAC"/>
    <w:rsid w:val="00B56B80"/>
    <w:rsid w:val="00B56E23"/>
    <w:rsid w:val="00B64372"/>
    <w:rsid w:val="00B721A5"/>
    <w:rsid w:val="00B74253"/>
    <w:rsid w:val="00B80F61"/>
    <w:rsid w:val="00B8216D"/>
    <w:rsid w:val="00B82A17"/>
    <w:rsid w:val="00B85384"/>
    <w:rsid w:val="00B90708"/>
    <w:rsid w:val="00B9187F"/>
    <w:rsid w:val="00B942D0"/>
    <w:rsid w:val="00B96D24"/>
    <w:rsid w:val="00BA20EA"/>
    <w:rsid w:val="00BA33EE"/>
    <w:rsid w:val="00BA4B96"/>
    <w:rsid w:val="00BA5EF7"/>
    <w:rsid w:val="00BC0C3A"/>
    <w:rsid w:val="00BC1CD7"/>
    <w:rsid w:val="00BD0532"/>
    <w:rsid w:val="00BD44D3"/>
    <w:rsid w:val="00BD5EB6"/>
    <w:rsid w:val="00BE4D2A"/>
    <w:rsid w:val="00BE7CEF"/>
    <w:rsid w:val="00BF2C9B"/>
    <w:rsid w:val="00BF4C77"/>
    <w:rsid w:val="00BF608F"/>
    <w:rsid w:val="00BF710D"/>
    <w:rsid w:val="00C045B6"/>
    <w:rsid w:val="00C110EE"/>
    <w:rsid w:val="00C17B50"/>
    <w:rsid w:val="00C21B70"/>
    <w:rsid w:val="00C25B50"/>
    <w:rsid w:val="00C26BA3"/>
    <w:rsid w:val="00C30E5D"/>
    <w:rsid w:val="00C30F36"/>
    <w:rsid w:val="00C32078"/>
    <w:rsid w:val="00C325C7"/>
    <w:rsid w:val="00C37918"/>
    <w:rsid w:val="00C47102"/>
    <w:rsid w:val="00C53DE7"/>
    <w:rsid w:val="00C53E3C"/>
    <w:rsid w:val="00C5647E"/>
    <w:rsid w:val="00C616EA"/>
    <w:rsid w:val="00C64C39"/>
    <w:rsid w:val="00C65AFD"/>
    <w:rsid w:val="00C703DC"/>
    <w:rsid w:val="00C74B8A"/>
    <w:rsid w:val="00C758CC"/>
    <w:rsid w:val="00C81948"/>
    <w:rsid w:val="00C84A69"/>
    <w:rsid w:val="00C85C06"/>
    <w:rsid w:val="00C917D9"/>
    <w:rsid w:val="00C91C6F"/>
    <w:rsid w:val="00CA3641"/>
    <w:rsid w:val="00CA65F4"/>
    <w:rsid w:val="00CA6675"/>
    <w:rsid w:val="00CB07E7"/>
    <w:rsid w:val="00CB396B"/>
    <w:rsid w:val="00CB7893"/>
    <w:rsid w:val="00CC4DB0"/>
    <w:rsid w:val="00CD1C10"/>
    <w:rsid w:val="00CD5453"/>
    <w:rsid w:val="00CD6849"/>
    <w:rsid w:val="00CE3547"/>
    <w:rsid w:val="00CE3592"/>
    <w:rsid w:val="00CF2652"/>
    <w:rsid w:val="00CF2D2D"/>
    <w:rsid w:val="00CF350B"/>
    <w:rsid w:val="00CF7EF5"/>
    <w:rsid w:val="00D012C6"/>
    <w:rsid w:val="00D03F8C"/>
    <w:rsid w:val="00D06023"/>
    <w:rsid w:val="00D109A5"/>
    <w:rsid w:val="00D15E0B"/>
    <w:rsid w:val="00D200A9"/>
    <w:rsid w:val="00D20878"/>
    <w:rsid w:val="00D246FC"/>
    <w:rsid w:val="00D26A8D"/>
    <w:rsid w:val="00D30226"/>
    <w:rsid w:val="00D34723"/>
    <w:rsid w:val="00D36DEF"/>
    <w:rsid w:val="00D4381D"/>
    <w:rsid w:val="00D5327C"/>
    <w:rsid w:val="00D54F38"/>
    <w:rsid w:val="00D56402"/>
    <w:rsid w:val="00D71CA5"/>
    <w:rsid w:val="00D75D05"/>
    <w:rsid w:val="00D77B57"/>
    <w:rsid w:val="00D83478"/>
    <w:rsid w:val="00D8444F"/>
    <w:rsid w:val="00D85446"/>
    <w:rsid w:val="00D8552A"/>
    <w:rsid w:val="00D977C6"/>
    <w:rsid w:val="00DA010B"/>
    <w:rsid w:val="00DA042F"/>
    <w:rsid w:val="00DA1506"/>
    <w:rsid w:val="00DA2352"/>
    <w:rsid w:val="00DA7565"/>
    <w:rsid w:val="00DC0D56"/>
    <w:rsid w:val="00DC3E28"/>
    <w:rsid w:val="00DC5271"/>
    <w:rsid w:val="00DC53BA"/>
    <w:rsid w:val="00DC61BC"/>
    <w:rsid w:val="00DC7076"/>
    <w:rsid w:val="00DD3D69"/>
    <w:rsid w:val="00DE1783"/>
    <w:rsid w:val="00DE2088"/>
    <w:rsid w:val="00DE2FE7"/>
    <w:rsid w:val="00DE72EA"/>
    <w:rsid w:val="00DF4F22"/>
    <w:rsid w:val="00DF6438"/>
    <w:rsid w:val="00E01783"/>
    <w:rsid w:val="00E071B9"/>
    <w:rsid w:val="00E07E9B"/>
    <w:rsid w:val="00E100B3"/>
    <w:rsid w:val="00E12436"/>
    <w:rsid w:val="00E17BE7"/>
    <w:rsid w:val="00E206D7"/>
    <w:rsid w:val="00E209D6"/>
    <w:rsid w:val="00E22C72"/>
    <w:rsid w:val="00E36980"/>
    <w:rsid w:val="00E44A8A"/>
    <w:rsid w:val="00E5462B"/>
    <w:rsid w:val="00E57027"/>
    <w:rsid w:val="00E60731"/>
    <w:rsid w:val="00E64491"/>
    <w:rsid w:val="00E67535"/>
    <w:rsid w:val="00E7251B"/>
    <w:rsid w:val="00E762F4"/>
    <w:rsid w:val="00E76E32"/>
    <w:rsid w:val="00E770B2"/>
    <w:rsid w:val="00E86FD4"/>
    <w:rsid w:val="00E93624"/>
    <w:rsid w:val="00E957AA"/>
    <w:rsid w:val="00EA1808"/>
    <w:rsid w:val="00EA3960"/>
    <w:rsid w:val="00EA4BA7"/>
    <w:rsid w:val="00EA5346"/>
    <w:rsid w:val="00EB6341"/>
    <w:rsid w:val="00EC1780"/>
    <w:rsid w:val="00EC62E0"/>
    <w:rsid w:val="00EC67D9"/>
    <w:rsid w:val="00EC7880"/>
    <w:rsid w:val="00ED383D"/>
    <w:rsid w:val="00EE48AF"/>
    <w:rsid w:val="00EE743F"/>
    <w:rsid w:val="00EF1721"/>
    <w:rsid w:val="00EF2602"/>
    <w:rsid w:val="00EF299B"/>
    <w:rsid w:val="00EF64CE"/>
    <w:rsid w:val="00EF785B"/>
    <w:rsid w:val="00F01CB7"/>
    <w:rsid w:val="00F04801"/>
    <w:rsid w:val="00F1244F"/>
    <w:rsid w:val="00F15749"/>
    <w:rsid w:val="00F15811"/>
    <w:rsid w:val="00F1605E"/>
    <w:rsid w:val="00F23FB1"/>
    <w:rsid w:val="00F242A1"/>
    <w:rsid w:val="00F26494"/>
    <w:rsid w:val="00F30F93"/>
    <w:rsid w:val="00F34584"/>
    <w:rsid w:val="00F34951"/>
    <w:rsid w:val="00F36BCC"/>
    <w:rsid w:val="00F402A2"/>
    <w:rsid w:val="00F404EC"/>
    <w:rsid w:val="00F40FED"/>
    <w:rsid w:val="00F42FF4"/>
    <w:rsid w:val="00F524B6"/>
    <w:rsid w:val="00F52B5B"/>
    <w:rsid w:val="00F530C5"/>
    <w:rsid w:val="00F54F03"/>
    <w:rsid w:val="00F55394"/>
    <w:rsid w:val="00F62DD9"/>
    <w:rsid w:val="00F63693"/>
    <w:rsid w:val="00F6419D"/>
    <w:rsid w:val="00F64D31"/>
    <w:rsid w:val="00F7023D"/>
    <w:rsid w:val="00F73B1E"/>
    <w:rsid w:val="00F76940"/>
    <w:rsid w:val="00F90D47"/>
    <w:rsid w:val="00F926AB"/>
    <w:rsid w:val="00F963DC"/>
    <w:rsid w:val="00F9659F"/>
    <w:rsid w:val="00F97192"/>
    <w:rsid w:val="00FA63CE"/>
    <w:rsid w:val="00FB2A02"/>
    <w:rsid w:val="00FB46B5"/>
    <w:rsid w:val="00FB4C25"/>
    <w:rsid w:val="00FC3096"/>
    <w:rsid w:val="00FC3252"/>
    <w:rsid w:val="00FD0F38"/>
    <w:rsid w:val="00FD794D"/>
    <w:rsid w:val="00FE03D6"/>
    <w:rsid w:val="00FE79AE"/>
    <w:rsid w:val="00FF2228"/>
    <w:rsid w:val="00FF3A3B"/>
    <w:rsid w:val="00FF4D6F"/>
    <w:rsid w:val="00FF621C"/>
    <w:rsid w:val="00FF7B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46"/>
  </w:style>
  <w:style w:type="paragraph" w:styleId="Balk1">
    <w:name w:val="heading 1"/>
    <w:basedOn w:val="Normal"/>
    <w:link w:val="Balk1Char"/>
    <w:uiPriority w:val="9"/>
    <w:qFormat/>
    <w:rsid w:val="00DE2088"/>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4C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4C77"/>
    <w:rPr>
      <w:rFonts w:ascii="Segoe UI" w:hAnsi="Segoe UI" w:cs="Segoe UI"/>
      <w:sz w:val="18"/>
      <w:szCs w:val="18"/>
    </w:rPr>
  </w:style>
  <w:style w:type="character" w:styleId="AklamaBavurusu">
    <w:name w:val="annotation reference"/>
    <w:basedOn w:val="VarsaylanParagrafYazTipi"/>
    <w:uiPriority w:val="99"/>
    <w:semiHidden/>
    <w:unhideWhenUsed/>
    <w:rsid w:val="004E241B"/>
    <w:rPr>
      <w:sz w:val="16"/>
      <w:szCs w:val="16"/>
    </w:rPr>
  </w:style>
  <w:style w:type="paragraph" w:styleId="AklamaMetni">
    <w:name w:val="annotation text"/>
    <w:basedOn w:val="Normal"/>
    <w:link w:val="AklamaMetniChar"/>
    <w:uiPriority w:val="99"/>
    <w:semiHidden/>
    <w:unhideWhenUsed/>
    <w:rsid w:val="004E24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241B"/>
    <w:rPr>
      <w:sz w:val="20"/>
      <w:szCs w:val="20"/>
    </w:rPr>
  </w:style>
  <w:style w:type="paragraph" w:styleId="AklamaKonusu">
    <w:name w:val="annotation subject"/>
    <w:basedOn w:val="AklamaMetni"/>
    <w:next w:val="AklamaMetni"/>
    <w:link w:val="AklamaKonusuChar"/>
    <w:uiPriority w:val="99"/>
    <w:semiHidden/>
    <w:unhideWhenUsed/>
    <w:rsid w:val="004E241B"/>
    <w:rPr>
      <w:b/>
      <w:bCs/>
    </w:rPr>
  </w:style>
  <w:style w:type="character" w:customStyle="1" w:styleId="AklamaKonusuChar">
    <w:name w:val="Açıklama Konusu Char"/>
    <w:basedOn w:val="AklamaMetniChar"/>
    <w:link w:val="AklamaKonusu"/>
    <w:uiPriority w:val="99"/>
    <w:semiHidden/>
    <w:rsid w:val="004E241B"/>
    <w:rPr>
      <w:b/>
      <w:bCs/>
      <w:sz w:val="20"/>
      <w:szCs w:val="20"/>
    </w:rPr>
  </w:style>
  <w:style w:type="paragraph" w:styleId="DipnotMetni">
    <w:name w:val="footnote text"/>
    <w:basedOn w:val="Normal"/>
    <w:link w:val="DipnotMetniChar"/>
    <w:uiPriority w:val="99"/>
    <w:semiHidden/>
    <w:unhideWhenUsed/>
    <w:rsid w:val="007A7C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A7CD4"/>
    <w:rPr>
      <w:sz w:val="20"/>
      <w:szCs w:val="20"/>
    </w:rPr>
  </w:style>
  <w:style w:type="character" w:styleId="DipnotBavurusu">
    <w:name w:val="footnote reference"/>
    <w:basedOn w:val="VarsaylanParagrafYazTipi"/>
    <w:uiPriority w:val="99"/>
    <w:semiHidden/>
    <w:unhideWhenUsed/>
    <w:rsid w:val="007A7CD4"/>
    <w:rPr>
      <w:vertAlign w:val="superscript"/>
    </w:rPr>
  </w:style>
  <w:style w:type="character" w:styleId="Kpr">
    <w:name w:val="Hyperlink"/>
    <w:basedOn w:val="VarsaylanParagrafYazTipi"/>
    <w:uiPriority w:val="99"/>
    <w:unhideWhenUsed/>
    <w:rsid w:val="00571524"/>
    <w:rPr>
      <w:color w:val="0563C1" w:themeColor="hyperlink"/>
      <w:u w:val="single"/>
    </w:rPr>
  </w:style>
  <w:style w:type="character" w:customStyle="1" w:styleId="UnresolvedMention1">
    <w:name w:val="Unresolved Mention1"/>
    <w:basedOn w:val="VarsaylanParagrafYazTipi"/>
    <w:uiPriority w:val="99"/>
    <w:semiHidden/>
    <w:unhideWhenUsed/>
    <w:rsid w:val="00571524"/>
    <w:rPr>
      <w:color w:val="605E5C"/>
      <w:shd w:val="clear" w:color="auto" w:fill="E1DFDD"/>
    </w:rPr>
  </w:style>
  <w:style w:type="character" w:customStyle="1" w:styleId="sb8d990e2">
    <w:name w:val="sb8d990e2"/>
    <w:basedOn w:val="VarsaylanParagrafYazTipi"/>
    <w:rsid w:val="00AC509D"/>
  </w:style>
  <w:style w:type="paragraph" w:styleId="stbilgi">
    <w:name w:val="header"/>
    <w:basedOn w:val="Normal"/>
    <w:link w:val="stbilgiChar"/>
    <w:uiPriority w:val="99"/>
    <w:semiHidden/>
    <w:unhideWhenUsed/>
    <w:rsid w:val="00D246FC"/>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D246FC"/>
  </w:style>
  <w:style w:type="paragraph" w:styleId="Altbilgi">
    <w:name w:val="footer"/>
    <w:basedOn w:val="Normal"/>
    <w:link w:val="AltbilgiChar"/>
    <w:uiPriority w:val="99"/>
    <w:semiHidden/>
    <w:unhideWhenUsed/>
    <w:rsid w:val="00D246FC"/>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D246FC"/>
  </w:style>
  <w:style w:type="paragraph" w:styleId="Dzeltme">
    <w:name w:val="Revision"/>
    <w:hidden/>
    <w:uiPriority w:val="99"/>
    <w:semiHidden/>
    <w:rsid w:val="00206CCD"/>
    <w:pPr>
      <w:spacing w:after="0" w:line="240" w:lineRule="auto"/>
    </w:pPr>
  </w:style>
  <w:style w:type="character" w:customStyle="1" w:styleId="UnresolvedMention">
    <w:name w:val="Unresolved Mention"/>
    <w:basedOn w:val="VarsaylanParagrafYazTipi"/>
    <w:uiPriority w:val="99"/>
    <w:semiHidden/>
    <w:unhideWhenUsed/>
    <w:rsid w:val="00B90708"/>
    <w:rPr>
      <w:color w:val="605E5C"/>
      <w:shd w:val="clear" w:color="auto" w:fill="E1DFDD"/>
    </w:rPr>
  </w:style>
  <w:style w:type="character" w:styleId="zlenenKpr">
    <w:name w:val="FollowedHyperlink"/>
    <w:basedOn w:val="VarsaylanParagrafYazTipi"/>
    <w:uiPriority w:val="99"/>
    <w:semiHidden/>
    <w:unhideWhenUsed/>
    <w:rsid w:val="00F9659F"/>
    <w:rPr>
      <w:color w:val="954F72" w:themeColor="followedHyperlink"/>
      <w:u w:val="single"/>
    </w:rPr>
  </w:style>
  <w:style w:type="character" w:customStyle="1" w:styleId="Balk1Char">
    <w:name w:val="Başlık 1 Char"/>
    <w:basedOn w:val="VarsaylanParagrafYazTipi"/>
    <w:link w:val="Balk1"/>
    <w:uiPriority w:val="9"/>
    <w:rsid w:val="00DE2088"/>
    <w:rPr>
      <w:rFonts w:ascii="Times New Roman" w:eastAsia="Times New Roman" w:hAnsi="Times New Roman" w:cs="Times New Roman"/>
      <w:b/>
      <w:bCs/>
      <w:kern w:val="36"/>
      <w:sz w:val="48"/>
      <w:szCs w:val="48"/>
      <w:lang w:val="tr-TR" w:eastAsia="tr-TR"/>
    </w:rPr>
  </w:style>
</w:styles>
</file>

<file path=word/webSettings.xml><?xml version="1.0" encoding="utf-8"?>
<w:webSettings xmlns:r="http://schemas.openxmlformats.org/officeDocument/2006/relationships" xmlns:w="http://schemas.openxmlformats.org/wordprocessingml/2006/main">
  <w:divs>
    <w:div w:id="987592038">
      <w:bodyDiv w:val="1"/>
      <w:marLeft w:val="0"/>
      <w:marRight w:val="0"/>
      <w:marTop w:val="0"/>
      <w:marBottom w:val="0"/>
      <w:divBdr>
        <w:top w:val="none" w:sz="0" w:space="0" w:color="auto"/>
        <w:left w:val="none" w:sz="0" w:space="0" w:color="auto"/>
        <w:bottom w:val="none" w:sz="0" w:space="0" w:color="auto"/>
        <w:right w:val="none" w:sz="0" w:space="0" w:color="auto"/>
      </w:divBdr>
    </w:div>
    <w:div w:id="14772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hudoc.echr.coe.int/eng?i=001-2064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4CB9-06F2-4F73-9850-1AA1B59F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Beril Onder</dc:creator>
  <cp:lastModifiedBy>Ayşe</cp:lastModifiedBy>
  <cp:revision>6</cp:revision>
  <dcterms:created xsi:type="dcterms:W3CDTF">2021-03-04T19:04:00Z</dcterms:created>
  <dcterms:modified xsi:type="dcterms:W3CDTF">2021-03-04T19:10:00Z</dcterms:modified>
</cp:coreProperties>
</file>